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74" w:rsidRDefault="00B66442" w:rsidP="0025600F">
      <w:pPr>
        <w:pStyle w:val="Title"/>
      </w:pPr>
      <w:bookmarkStart w:id="0" w:name="_GoBack"/>
      <w:bookmarkEnd w:id="0"/>
      <w:r>
        <w:t xml:space="preserve">Climate Action Reserve </w:t>
      </w:r>
      <w:r w:rsidR="0025600F">
        <w:t xml:space="preserve">Verification of Forest Carbon Project Plots Using Sequential Statistical Methods </w:t>
      </w:r>
    </w:p>
    <w:p w:rsidR="0025600F" w:rsidRDefault="000F7883" w:rsidP="000F7883">
      <w:pPr>
        <w:pStyle w:val="Subtitle"/>
      </w:pPr>
      <w:r>
        <w:t xml:space="preserve">Timothy A. </w:t>
      </w:r>
      <w:proofErr w:type="spellStart"/>
      <w:r>
        <w:t>Robards</w:t>
      </w:r>
      <w:proofErr w:type="spellEnd"/>
      <w:r>
        <w:t>, Ph.D.</w:t>
      </w:r>
    </w:p>
    <w:p w:rsidR="00891AAF" w:rsidRDefault="00E75885" w:rsidP="000F7883">
      <w:r>
        <w:t xml:space="preserve">Forest carbon project verifications must have the inventory data audited in order to establish that the statistical design, methods and implementation are of sufficient quality. </w:t>
      </w:r>
      <w:r w:rsidR="00903585">
        <w:t>The age of the inventory</w:t>
      </w:r>
      <w:r w:rsidR="00FE3E59">
        <w:t xml:space="preserve"> sample plots</w:t>
      </w:r>
      <w:r w:rsidR="00903585">
        <w:t xml:space="preserve"> may vary from zero to up to twelve years old. Updates of inventory data may include growth, mortality, </w:t>
      </w:r>
      <w:proofErr w:type="spellStart"/>
      <w:r w:rsidR="00903585">
        <w:t>ingrowth</w:t>
      </w:r>
      <w:proofErr w:type="spellEnd"/>
      <w:r w:rsidR="00903585">
        <w:t xml:space="preserve"> and harvest components so that plot data accuracy is a combination of not just design, methods and implementation but also the updating process. </w:t>
      </w:r>
    </w:p>
    <w:p w:rsidR="00E73D16" w:rsidRDefault="00FA0C1D" w:rsidP="00203F84">
      <w:r>
        <w:t xml:space="preserve">This paper provides a statistical approach to checking plots as part of the CAR verification process. </w:t>
      </w:r>
      <w:r w:rsidR="00203F84">
        <w:t xml:space="preserve">Sequential statistical methods are used </w:t>
      </w:r>
      <w:r w:rsidR="00E20F19">
        <w:t xml:space="preserve">to collect plot data until a threshold is reached where a decision may be made as to the adequacy of the plot data. </w:t>
      </w:r>
      <w:r w:rsidR="006B7BFF">
        <w:t xml:space="preserve">Sequential statistical methods were first developed during the Second World War to efficiently test war materials production. </w:t>
      </w:r>
      <w:r w:rsidR="003C4897">
        <w:t xml:space="preserve">These methods are commonly used in the pharmaceutical industry where it is important to stop experiments as soon as possible to avoid harm from withholding useful medicines or causing harm from side effects. </w:t>
      </w:r>
    </w:p>
    <w:p w:rsidR="003C4897" w:rsidRDefault="00C5190C" w:rsidP="00203F84">
      <w:r>
        <w:t xml:space="preserve">Forestry applications of sequential methods have been limited, however they have been used for assessments of stocking </w:t>
      </w:r>
      <w:r w:rsidR="00EC0B43">
        <w:fldChar w:fldCharType="begin"/>
      </w:r>
      <w:r>
        <w:instrText xml:space="preserve"> ADDIN EN.CITE &lt;EndNote&gt;&lt;Cite&gt;&lt;Author&gt;Fairweather&lt;/Author&gt;&lt;Year&gt;1985&lt;/Year&gt;&lt;RecNum&gt;702&lt;/RecNum&gt;&lt;DisplayText&gt;(Fairweather 1985)&lt;/DisplayText&gt;&lt;record&gt;&lt;rec-number&gt;702&lt;/rec-number&gt;&lt;foreign-keys&gt;&lt;key app="EN" db-id="r5ztfsr5teazsberwv55vz25v0v5fvzdr0pf"&gt;702&lt;/key&gt;&lt;/foreign-keys&gt;&lt;ref-type name="Journal Article"&gt;17&lt;/ref-type&gt;&lt;contributors&gt;&lt;authors&gt;&lt;author&gt;Fairweather, S E&lt;/author&gt;&lt;/authors&gt;&lt;/contributors&gt;&lt;titles&gt;&lt;title&gt;Sequential sampling for assessment of stocking adequacy&lt;/title&gt;&lt;secondary-title&gt;Northern Journal of Applied Forestry&lt;/secondary-title&gt;&lt;/titles&gt;&lt;periodical&gt;&lt;full-title&gt;Northern Journal of Applied Forestry&lt;/full-title&gt;&lt;/periodical&gt;&lt;pages&gt;5-8&lt;/pages&gt;&lt;volume&gt;2&lt;/volume&gt;&lt;dates&gt;&lt;year&gt;1985&lt;/year&gt;&lt;/dates&gt;&lt;urls&gt;&lt;/urls&gt;&lt;/record&gt;&lt;/Cite&gt;&lt;/EndNote&gt;</w:instrText>
      </w:r>
      <w:r w:rsidR="00EC0B43">
        <w:fldChar w:fldCharType="separate"/>
      </w:r>
      <w:r>
        <w:rPr>
          <w:noProof/>
        </w:rPr>
        <w:t>(</w:t>
      </w:r>
      <w:hyperlink w:anchor="_ENREF_1" w:tooltip="Fairweather, 1985 #702" w:history="1">
        <w:r w:rsidR="00E73D16">
          <w:rPr>
            <w:noProof/>
          </w:rPr>
          <w:t>Fairweather 1985</w:t>
        </w:r>
      </w:hyperlink>
      <w:r>
        <w:rPr>
          <w:noProof/>
        </w:rPr>
        <w:t>)</w:t>
      </w:r>
      <w:r w:rsidR="00EC0B43">
        <w:fldChar w:fldCharType="end"/>
      </w:r>
      <w:r>
        <w:t xml:space="preserve"> and for sampling rare populations </w:t>
      </w:r>
      <w:r w:rsidR="00EC0B43">
        <w:fldChar w:fldCharType="begin"/>
      </w:r>
      <w:r>
        <w:instrText xml:space="preserve"> ADDIN EN.CITE &lt;EndNote&gt;&lt;Cite&gt;&lt;Author&gt;Thompson&lt;/Author&gt;&lt;Year&gt;2002&lt;/Year&gt;&lt;RecNum&gt;701&lt;/RecNum&gt;&lt;DisplayText&gt;(Roesch 1993; Thompson 2002)&lt;/DisplayText&gt;&lt;record&gt;&lt;rec-number&gt;701&lt;/rec-number&gt;&lt;foreign-keys&gt;&lt;key app="EN" db-id="r5ztfsr5teazsberwv55vz25v0v5fvzdr0pf"&gt;701&lt;/key&gt;&lt;/foreign-keys&gt;&lt;ref-type name="Book"&gt;6&lt;/ref-type&gt;&lt;contributors&gt;&lt;authors&gt;&lt;author&gt;Thompson, S K&lt;/author&gt;&lt;/authors&gt;&lt;/contributors&gt;&lt;titles&gt;&lt;title&gt;Sampling&lt;/title&gt;&lt;secondary-title&gt;Wiley Series in Probability and Statistics&lt;/secondary-title&gt;&lt;/titles&gt;&lt;edition&gt;Second&lt;/edition&gt;&lt;section&gt;367&lt;/section&gt;&lt;dates&gt;&lt;year&gt;2002&lt;/year&gt;&lt;/dates&gt;&lt;pub-location&gt;New York&lt;/pub-location&gt;&lt;publisher&gt;John Wiley and Sons&lt;/publisher&gt;&lt;urls&gt;&lt;/urls&gt;&lt;/record&gt;&lt;/Cite&gt;&lt;Cite&gt;&lt;Author&gt;Roesch&lt;/Author&gt;&lt;Year&gt;1993&lt;/Year&gt;&lt;RecNum&gt;703&lt;/RecNum&gt;&lt;record&gt;&lt;rec-number&gt;703&lt;/rec-number&gt;&lt;foreign-keys&gt;&lt;key app="EN" db-id="r5ztfsr5teazsberwv55vz25v0v5fvzdr0pf"&gt;703&lt;/key&gt;&lt;/foreign-keys&gt;&lt;ref-type name="Journal Article"&gt;17&lt;/ref-type&gt;&lt;contributors&gt;&lt;authors&gt;&lt;author&gt;F A Roesch&lt;/author&gt;&lt;/authors&gt;&lt;/contributors&gt;&lt;titles&gt;&lt;title&gt;Adaptive cluster sampling for forest inventories&lt;/title&gt;&lt;secondary-title&gt;Forest Science&lt;/secondary-title&gt;&lt;/titles&gt;&lt;periodical&gt;&lt;full-title&gt;Forest Science&lt;/full-title&gt;&lt;/periodical&gt;&lt;pages&gt;655-669&lt;/pages&gt;&lt;volume&gt;39&lt;/volume&gt;&lt;number&gt;4&lt;/number&gt;&lt;dates&gt;&lt;year&gt;1993&lt;/year&gt;&lt;/dates&gt;&lt;urls&gt;&lt;/urls&gt;&lt;/record&gt;&lt;/Cite&gt;&lt;/EndNote&gt;</w:instrText>
      </w:r>
      <w:r w:rsidR="00EC0B43">
        <w:fldChar w:fldCharType="separate"/>
      </w:r>
      <w:r>
        <w:rPr>
          <w:noProof/>
        </w:rPr>
        <w:t>(</w:t>
      </w:r>
      <w:hyperlink w:anchor="_ENREF_2" w:tooltip="Roesch, 1993 #703" w:history="1">
        <w:r w:rsidR="00E73D16">
          <w:rPr>
            <w:noProof/>
          </w:rPr>
          <w:t>Roesch 1993</w:t>
        </w:r>
      </w:hyperlink>
      <w:r>
        <w:rPr>
          <w:noProof/>
        </w:rPr>
        <w:t xml:space="preserve">; </w:t>
      </w:r>
      <w:hyperlink w:anchor="_ENREF_3" w:tooltip="Thompson, 2002 #701" w:history="1">
        <w:r w:rsidR="00E73D16">
          <w:rPr>
            <w:noProof/>
          </w:rPr>
          <w:t>Thompson 2002</w:t>
        </w:r>
      </w:hyperlink>
      <w:r>
        <w:rPr>
          <w:noProof/>
        </w:rPr>
        <w:t>)</w:t>
      </w:r>
      <w:r w:rsidR="00EC0B43">
        <w:fldChar w:fldCharType="end"/>
      </w:r>
      <w:r>
        <w:t xml:space="preserve">. </w:t>
      </w:r>
      <w:proofErr w:type="spellStart"/>
      <w:r w:rsidR="00E73D16">
        <w:t>Fairweather</w:t>
      </w:r>
      <w:proofErr w:type="spellEnd"/>
      <w:r w:rsidR="00E73D16">
        <w:t xml:space="preserve"> </w:t>
      </w:r>
      <w:r w:rsidR="00EC0B43">
        <w:fldChar w:fldCharType="begin"/>
      </w:r>
      <w:r w:rsidR="00E73D16">
        <w:instrText xml:space="preserve"> ADDIN EN.CITE &lt;EndNote&gt;&lt;Cite ExcludeAuth="1"&gt;&lt;Author&gt;Fairweather&lt;/Author&gt;&lt;Year&gt;1985&lt;/Year&gt;&lt;RecNum&gt;702&lt;/RecNum&gt;&lt;DisplayText&gt;(1985)&lt;/DisplayText&gt;&lt;record&gt;&lt;rec-number&gt;702&lt;/rec-number&gt;&lt;foreign-keys&gt;&lt;key app="EN" db-id="r5ztfsr5teazsberwv55vz25v0v5fvzdr0pf"&gt;702&lt;/key&gt;&lt;/foreign-keys&gt;&lt;ref-type name="Journal Article"&gt;17&lt;/ref-type&gt;&lt;contributors&gt;&lt;authors&gt;&lt;author&gt;Fairweather, S E&lt;/author&gt;&lt;/authors&gt;&lt;/contributors&gt;&lt;titles&gt;&lt;title&gt;Sequential sampling for assessment of stocking adequacy&lt;/title&gt;&lt;secondary-title&gt;Northern Journal of Applied Forestry&lt;/secondary-title&gt;&lt;/titles&gt;&lt;periodical&gt;&lt;full-title&gt;Northern Journal of Applied Forestry&lt;/full-title&gt;&lt;/periodical&gt;&lt;pages&gt;5-8&lt;/pages&gt;&lt;volume&gt;2&lt;/volume&gt;&lt;dates&gt;&lt;year&gt;1985&lt;/year&gt;&lt;/dates&gt;&lt;urls&gt;&lt;/urls&gt;&lt;/record&gt;&lt;/Cite&gt;&lt;/EndNote&gt;</w:instrText>
      </w:r>
      <w:r w:rsidR="00EC0B43">
        <w:fldChar w:fldCharType="separate"/>
      </w:r>
      <w:r w:rsidR="00E73D16">
        <w:rPr>
          <w:noProof/>
        </w:rPr>
        <w:t>(</w:t>
      </w:r>
      <w:hyperlink w:anchor="_ENREF_1" w:tooltip="Fairweather, 1985 #702" w:history="1">
        <w:r w:rsidR="00E73D16">
          <w:rPr>
            <w:noProof/>
          </w:rPr>
          <w:t>1985</w:t>
        </w:r>
      </w:hyperlink>
      <w:r w:rsidR="00E73D16">
        <w:rPr>
          <w:noProof/>
        </w:rPr>
        <w:t>)</w:t>
      </w:r>
      <w:r w:rsidR="00EC0B43">
        <w:fldChar w:fldCharType="end"/>
      </w:r>
      <w:r w:rsidR="00E73D16">
        <w:t xml:space="preserve"> listed three disadvantages of sequential sampling: 1) “No Decision” situation, 2) selection of distribution, and 3) the importance for random sampling. The decision to stop when there is no obvious conclusion will be a function of the limitations on effort and cost. The methods below were selected to most closely approximate those expected from forest carbon inventory differences: normal distribution. Random sampling may be addressed logistically by restricting evaluations to individual stands or groups of stands</w:t>
      </w:r>
      <w:r w:rsidR="00B03889">
        <w:t xml:space="preserve"> and by allowing efficient methods such as clusters and systematic sampling</w:t>
      </w:r>
      <w:r w:rsidR="00E73D16">
        <w:t xml:space="preserve">. </w:t>
      </w:r>
    </w:p>
    <w:p w:rsidR="004E4ABF" w:rsidRDefault="00C450F3" w:rsidP="00203F84">
      <w:r>
        <w:t xml:space="preserve">Paired plot tests will generally be less expensive since the sampling </w:t>
      </w:r>
      <w:r w:rsidR="00EC2959">
        <w:t>frame is</w:t>
      </w:r>
      <w:r>
        <w:t xml:space="preserve"> the measured plots rather than the population or sub-population. When an inventory is not new then the variance estimate may become different from the original estimate. In this case we cannot assume that we know the variance. </w:t>
      </w:r>
      <w:r w:rsidR="00CA7E02">
        <w:t xml:space="preserve">For paired tests we cannot know the variance of the differences in advance, so this option is not available. </w:t>
      </w:r>
      <w:r w:rsidR="009253BF">
        <w:t>Th</w:t>
      </w:r>
      <w:r w:rsidR="00936D58">
        <w:t>ese factors lead to</w:t>
      </w:r>
      <w:r w:rsidR="009253BF">
        <w:t xml:space="preserve"> </w:t>
      </w:r>
      <w:r w:rsidR="004F6753">
        <w:t>t</w:t>
      </w:r>
      <w:r w:rsidR="00711C05">
        <w:t>wo</w:t>
      </w:r>
      <w:r w:rsidR="00203F84">
        <w:t xml:space="preserve"> </w:t>
      </w:r>
      <w:r w:rsidR="009253BF">
        <w:t>approaches</w:t>
      </w:r>
      <w:r w:rsidR="00711C05">
        <w:t xml:space="preserve"> </w:t>
      </w:r>
      <w:r w:rsidR="00EC2959">
        <w:t xml:space="preserve">that </w:t>
      </w:r>
      <w:r w:rsidR="00711C05">
        <w:t>do not assume to know the variance in advance</w:t>
      </w:r>
      <w:r w:rsidR="00936D58">
        <w:t>, which</w:t>
      </w:r>
      <w:r w:rsidR="004E4ABF">
        <w:t xml:space="preserve"> a</w:t>
      </w:r>
      <w:r w:rsidR="009253BF">
        <w:t>re</w:t>
      </w:r>
      <w:r w:rsidR="004E4ABF">
        <w:t xml:space="preserve"> </w:t>
      </w:r>
      <w:proofErr w:type="gramStart"/>
      <w:r w:rsidR="009253BF">
        <w:t>summarized</w:t>
      </w:r>
      <w:proofErr w:type="gramEnd"/>
      <w:r w:rsidR="004E4ABF">
        <w:t xml:space="preserve"> in Table 1.</w:t>
      </w:r>
    </w:p>
    <w:p w:rsidR="00AE54D0" w:rsidRDefault="00AE54D0" w:rsidP="00AE54D0">
      <w:pPr>
        <w:pStyle w:val="Caption"/>
        <w:keepNext/>
        <w:spacing w:after="0"/>
      </w:pPr>
      <w:proofErr w:type="gramStart"/>
      <w:r>
        <w:t xml:space="preserve">Table </w:t>
      </w:r>
      <w:r w:rsidR="00EC0B43">
        <w:fldChar w:fldCharType="begin"/>
      </w:r>
      <w:r w:rsidR="00232EFE">
        <w:instrText xml:space="preserve"> SEQ Table \* ARABIC </w:instrText>
      </w:r>
      <w:r w:rsidR="00EC0B43">
        <w:fldChar w:fldCharType="separate"/>
      </w:r>
      <w:r w:rsidR="00EA03D8">
        <w:rPr>
          <w:noProof/>
        </w:rPr>
        <w:t>1</w:t>
      </w:r>
      <w:r w:rsidR="00EC0B43">
        <w:rPr>
          <w:noProof/>
        </w:rPr>
        <w:fldChar w:fldCharType="end"/>
      </w:r>
      <w:r>
        <w:t>.</w:t>
      </w:r>
      <w:proofErr w:type="gramEnd"/>
      <w:r>
        <w:t xml:space="preserve"> Sequential statistical approach to use based on verification-specific criteria.</w:t>
      </w:r>
    </w:p>
    <w:tbl>
      <w:tblPr>
        <w:tblStyle w:val="TableGrid"/>
        <w:tblW w:w="0" w:type="auto"/>
        <w:tblLook w:val="04A0"/>
      </w:tblPr>
      <w:tblGrid>
        <w:gridCol w:w="3708"/>
        <w:gridCol w:w="1260"/>
        <w:gridCol w:w="1350"/>
        <w:gridCol w:w="1663"/>
      </w:tblGrid>
      <w:tr w:rsidR="00092E8A" w:rsidTr="00E747A3">
        <w:tc>
          <w:tcPr>
            <w:tcW w:w="3708" w:type="dxa"/>
            <w:tcBorders>
              <w:bottom w:val="single" w:sz="18" w:space="0" w:color="auto"/>
            </w:tcBorders>
          </w:tcPr>
          <w:p w:rsidR="00092E8A" w:rsidRDefault="00092E8A" w:rsidP="00D369AE">
            <w:pPr>
              <w:jc w:val="center"/>
            </w:pPr>
          </w:p>
          <w:p w:rsidR="00092E8A" w:rsidRDefault="00092E8A" w:rsidP="00D369AE">
            <w:pPr>
              <w:jc w:val="center"/>
            </w:pPr>
          </w:p>
          <w:p w:rsidR="00092E8A" w:rsidRDefault="00092E8A" w:rsidP="00936D58">
            <w:pPr>
              <w:jc w:val="center"/>
            </w:pPr>
          </w:p>
          <w:p w:rsidR="00092E8A" w:rsidRDefault="00092E8A" w:rsidP="00936D58">
            <w:pPr>
              <w:jc w:val="center"/>
            </w:pPr>
            <w:r>
              <w:t>Approach to Use</w:t>
            </w:r>
          </w:p>
        </w:tc>
        <w:tc>
          <w:tcPr>
            <w:tcW w:w="1260" w:type="dxa"/>
            <w:tcBorders>
              <w:bottom w:val="single" w:sz="18" w:space="0" w:color="auto"/>
            </w:tcBorders>
          </w:tcPr>
          <w:p w:rsidR="00092E8A" w:rsidRDefault="00092E8A" w:rsidP="00FE7B71">
            <w:pPr>
              <w:jc w:val="center"/>
            </w:pPr>
            <w:r>
              <w:t>Plots Can Be Found in the Field?</w:t>
            </w:r>
          </w:p>
        </w:tc>
        <w:tc>
          <w:tcPr>
            <w:tcW w:w="1350" w:type="dxa"/>
            <w:tcBorders>
              <w:bottom w:val="single" w:sz="18" w:space="0" w:color="auto"/>
            </w:tcBorders>
          </w:tcPr>
          <w:p w:rsidR="00092E8A" w:rsidRDefault="00092E8A" w:rsidP="00D369AE">
            <w:pPr>
              <w:jc w:val="center"/>
            </w:pPr>
            <w:r>
              <w:t>Appropriate to Pair Plots for Evaluation?</w:t>
            </w:r>
          </w:p>
        </w:tc>
        <w:tc>
          <w:tcPr>
            <w:tcW w:w="1663" w:type="dxa"/>
            <w:tcBorders>
              <w:bottom w:val="single" w:sz="18" w:space="0" w:color="auto"/>
            </w:tcBorders>
          </w:tcPr>
          <w:p w:rsidR="00092E8A" w:rsidRDefault="00092E8A" w:rsidP="00D369AE">
            <w:pPr>
              <w:jc w:val="center"/>
            </w:pPr>
            <w:proofErr w:type="spellStart"/>
            <w:r>
              <w:t>Mukhopadhyay</w:t>
            </w:r>
            <w:proofErr w:type="spellEnd"/>
            <w:r>
              <w:t xml:space="preserve"> and de Silva (2009) Reference</w:t>
            </w:r>
          </w:p>
        </w:tc>
      </w:tr>
      <w:tr w:rsidR="00092E8A" w:rsidTr="00E747A3">
        <w:tc>
          <w:tcPr>
            <w:tcW w:w="3708" w:type="dxa"/>
          </w:tcPr>
          <w:p w:rsidR="00092E8A" w:rsidRDefault="00092E8A" w:rsidP="00A77E73">
            <w:pPr>
              <w:jc w:val="right"/>
            </w:pPr>
            <w:r>
              <w:t>Paired Test, Variance Unknown</w:t>
            </w:r>
          </w:p>
        </w:tc>
        <w:tc>
          <w:tcPr>
            <w:tcW w:w="1260" w:type="dxa"/>
          </w:tcPr>
          <w:p w:rsidR="00092E8A" w:rsidRDefault="00092E8A" w:rsidP="00A77E73">
            <w:pPr>
              <w:jc w:val="center"/>
            </w:pPr>
            <w:r>
              <w:t>Yes</w:t>
            </w:r>
          </w:p>
        </w:tc>
        <w:tc>
          <w:tcPr>
            <w:tcW w:w="1350" w:type="dxa"/>
          </w:tcPr>
          <w:p w:rsidR="00092E8A" w:rsidRDefault="00092E8A" w:rsidP="006C30FF">
            <w:pPr>
              <w:jc w:val="center"/>
            </w:pPr>
            <w:r>
              <w:t>Yes</w:t>
            </w:r>
          </w:p>
        </w:tc>
        <w:tc>
          <w:tcPr>
            <w:tcW w:w="1663" w:type="dxa"/>
          </w:tcPr>
          <w:p w:rsidR="00092E8A" w:rsidRDefault="00092E8A" w:rsidP="006C30FF">
            <w:pPr>
              <w:jc w:val="center"/>
            </w:pPr>
            <w:r>
              <w:t>Sec. 4.3</w:t>
            </w:r>
          </w:p>
        </w:tc>
      </w:tr>
      <w:tr w:rsidR="00092E8A" w:rsidTr="00E747A3">
        <w:tc>
          <w:tcPr>
            <w:tcW w:w="3708" w:type="dxa"/>
          </w:tcPr>
          <w:p w:rsidR="00092E8A" w:rsidRDefault="00092E8A" w:rsidP="00A77E73">
            <w:pPr>
              <w:jc w:val="right"/>
            </w:pPr>
            <w:r>
              <w:t>Unpaired Test, Variance Unknown</w:t>
            </w:r>
          </w:p>
        </w:tc>
        <w:tc>
          <w:tcPr>
            <w:tcW w:w="1260" w:type="dxa"/>
          </w:tcPr>
          <w:p w:rsidR="00092E8A" w:rsidRDefault="00092E8A" w:rsidP="00A77E73">
            <w:pPr>
              <w:jc w:val="center"/>
            </w:pPr>
            <w:r>
              <w:t>No</w:t>
            </w:r>
          </w:p>
        </w:tc>
        <w:tc>
          <w:tcPr>
            <w:tcW w:w="1350" w:type="dxa"/>
          </w:tcPr>
          <w:p w:rsidR="00092E8A" w:rsidRDefault="00092E8A" w:rsidP="006C30FF">
            <w:pPr>
              <w:jc w:val="center"/>
            </w:pPr>
            <w:r>
              <w:t>No</w:t>
            </w:r>
          </w:p>
        </w:tc>
        <w:tc>
          <w:tcPr>
            <w:tcW w:w="1663" w:type="dxa"/>
          </w:tcPr>
          <w:p w:rsidR="00092E8A" w:rsidRDefault="00092E8A" w:rsidP="006C30FF">
            <w:pPr>
              <w:jc w:val="center"/>
            </w:pPr>
            <w:r>
              <w:t>Sec. 13.1-2</w:t>
            </w:r>
          </w:p>
        </w:tc>
      </w:tr>
    </w:tbl>
    <w:p w:rsidR="004E4ABF" w:rsidRDefault="004E4ABF" w:rsidP="004E4ABF">
      <w:r>
        <w:t xml:space="preserve"> </w:t>
      </w:r>
    </w:p>
    <w:p w:rsidR="00713368" w:rsidRPr="0042155A" w:rsidRDefault="00713368" w:rsidP="004E4ABF">
      <w:r>
        <w:lastRenderedPageBreak/>
        <w:t xml:space="preserve">Based on the criteria in </w:t>
      </w:r>
      <w:r w:rsidR="00814845">
        <w:t>T</w:t>
      </w:r>
      <w:r>
        <w:t xml:space="preserve">able 1 and professional judgment, a verifier selects an approach to use. </w:t>
      </w:r>
      <w:r w:rsidR="00E030E6">
        <w:t xml:space="preserve">The two </w:t>
      </w:r>
      <w:r w:rsidR="006B4D06">
        <w:t xml:space="preserve">approaches </w:t>
      </w:r>
      <w:r w:rsidR="00E030E6">
        <w:t>are</w:t>
      </w:r>
      <w:r w:rsidR="006B4D06">
        <w:t xml:space="preserve"> discussed below. A spreadsheet tool is available to aid in the calculations; each approach may be found in a separate worksheet.</w:t>
      </w:r>
      <w:r w:rsidR="0042155A">
        <w:t xml:space="preserve"> </w:t>
      </w:r>
      <w:r w:rsidR="00814845">
        <w:t>T</w:t>
      </w:r>
      <w:r w:rsidR="0042155A">
        <w:t xml:space="preserve">hese methods were taken from the book </w:t>
      </w:r>
      <w:r w:rsidR="0042155A">
        <w:rPr>
          <w:u w:val="single"/>
        </w:rPr>
        <w:t>Sequential Methods and Their Applications</w:t>
      </w:r>
      <w:r w:rsidR="0042155A">
        <w:t xml:space="preserve"> by </w:t>
      </w:r>
      <w:proofErr w:type="spellStart"/>
      <w:r w:rsidR="0042155A">
        <w:t>Mukhopadhyay</w:t>
      </w:r>
      <w:proofErr w:type="spellEnd"/>
      <w:r w:rsidR="0042155A">
        <w:t xml:space="preserve"> and de Silva (2009). The terminology was adjusted to make it consistent for our purposes.</w:t>
      </w:r>
      <w:r w:rsidR="007469EC">
        <w:t xml:space="preserve"> The last column in Table 1 shows where the method was found in the book.</w:t>
      </w:r>
    </w:p>
    <w:p w:rsidR="008B702E" w:rsidRDefault="008B702E" w:rsidP="008B702E">
      <w:pPr>
        <w:pStyle w:val="Heading1"/>
      </w:pPr>
      <w:r>
        <w:t>Paired Test, Variance Unknown</w:t>
      </w:r>
    </w:p>
    <w:p w:rsidR="008B702E" w:rsidRDefault="008B702E" w:rsidP="008B702E">
      <w:r>
        <w:t>We assume that the verification plots can be paired with project plots</w:t>
      </w:r>
      <w:r w:rsidR="000061A7">
        <w:t xml:space="preserve">. </w:t>
      </w:r>
      <w:r>
        <w:t xml:space="preserve"> </w:t>
      </w:r>
    </w:p>
    <w:p w:rsidR="008B702E" w:rsidRDefault="008B702E" w:rsidP="008B702E">
      <w:pPr>
        <w:pStyle w:val="Heading2"/>
      </w:pPr>
      <w:r>
        <w:t>Definitions</w:t>
      </w:r>
    </w:p>
    <w:p w:rsidR="008B702E" w:rsidRDefault="008B702E" w:rsidP="008B702E">
      <w:r>
        <w:t xml:space="preserve">Let </w:t>
      </w:r>
      <w:r>
        <w:tab/>
        <w:t>X</w:t>
      </w:r>
      <w:r>
        <w:rPr>
          <w:vertAlign w:val="subscript"/>
        </w:rPr>
        <w:t>i</w:t>
      </w:r>
      <w:r>
        <w:t xml:space="preserve"> = P</w:t>
      </w:r>
      <w:r>
        <w:rPr>
          <w:vertAlign w:val="subscript"/>
        </w:rPr>
        <w:t>i</w:t>
      </w:r>
      <w:r>
        <w:t xml:space="preserve"> - </w:t>
      </w:r>
      <w:proofErr w:type="gramStart"/>
      <w:r>
        <w:t>V</w:t>
      </w:r>
      <w:r>
        <w:rPr>
          <w:vertAlign w:val="subscript"/>
        </w:rPr>
        <w:t>i</w:t>
      </w:r>
      <w:proofErr w:type="gramEnd"/>
      <w:r>
        <w:t xml:space="preserve"> </w:t>
      </w:r>
      <w:r>
        <w:tab/>
      </w:r>
      <w:r w:rsidR="00681336">
        <w:tab/>
      </w:r>
      <w:r>
        <w:t xml:space="preserve">where, </w:t>
      </w:r>
      <w:r>
        <w:tab/>
        <w:t>P</w:t>
      </w:r>
      <w:r>
        <w:rPr>
          <w:vertAlign w:val="subscript"/>
        </w:rPr>
        <w:t>i</w:t>
      </w:r>
      <w:r>
        <w:t xml:space="preserve"> = project mean on plot </w:t>
      </w:r>
      <w:proofErr w:type="spellStart"/>
      <w:r>
        <w:t>i</w:t>
      </w:r>
      <w:proofErr w:type="spellEnd"/>
      <w:r>
        <w:t xml:space="preserve">, </w:t>
      </w:r>
    </w:p>
    <w:p w:rsidR="008B702E" w:rsidRDefault="008B702E" w:rsidP="00681336">
      <w:pPr>
        <w:ind w:left="2880" w:firstLine="720"/>
      </w:pPr>
      <w:proofErr w:type="gramStart"/>
      <w:r>
        <w:t>V</w:t>
      </w:r>
      <w:r>
        <w:rPr>
          <w:vertAlign w:val="subscript"/>
        </w:rPr>
        <w:t>i</w:t>
      </w:r>
      <w:proofErr w:type="gramEnd"/>
      <w:r>
        <w:t xml:space="preserve"> = </w:t>
      </w:r>
      <w:r w:rsidR="00E84D39">
        <w:t>verification</w:t>
      </w:r>
      <w:r>
        <w:t xml:space="preserve"> mean on plot </w:t>
      </w:r>
      <w:proofErr w:type="spellStart"/>
      <w:r w:rsidR="007F251C">
        <w:t>i</w:t>
      </w:r>
      <w:proofErr w:type="spellEnd"/>
      <w:r>
        <w:t>,</w:t>
      </w:r>
    </w:p>
    <w:p w:rsidR="008B702E" w:rsidRDefault="008B702E" w:rsidP="00681336">
      <w:pPr>
        <w:ind w:left="2880" w:firstLine="720"/>
      </w:pPr>
      <w:r>
        <w:t>X</w:t>
      </w:r>
      <w:r>
        <w:rPr>
          <w:vertAlign w:val="subscript"/>
        </w:rPr>
        <w:t>1</w:t>
      </w:r>
      <w:r>
        <w:t xml:space="preserve">, </w:t>
      </w:r>
      <w:proofErr w:type="gramStart"/>
      <w:r>
        <w:t>X</w:t>
      </w:r>
      <w:r>
        <w:rPr>
          <w:vertAlign w:val="subscript"/>
        </w:rPr>
        <w:t>2</w:t>
      </w:r>
      <w:r>
        <w:t>, …</w:t>
      </w:r>
      <w:proofErr w:type="gramEnd"/>
      <w:r>
        <w:t xml:space="preserve"> is </w:t>
      </w:r>
      <w:proofErr w:type="spellStart"/>
      <w:r>
        <w:t>iid</w:t>
      </w:r>
      <w:proofErr w:type="spellEnd"/>
      <w:r>
        <w:t xml:space="preserve"> N(</w:t>
      </w:r>
      <w:r>
        <w:rPr>
          <w:rFonts w:cstheme="minorHAnsi"/>
        </w:rPr>
        <w:t>µ</w:t>
      </w:r>
      <w:r>
        <w:t xml:space="preserve">, </w:t>
      </w:r>
      <w:r>
        <w:rPr>
          <w:rFonts w:cstheme="minorHAnsi"/>
        </w:rPr>
        <w:t>σ</w:t>
      </w:r>
      <w:r>
        <w:rPr>
          <w:vertAlign w:val="superscript"/>
        </w:rPr>
        <w:t>2</w:t>
      </w:r>
      <w:r w:rsidR="00737BE4">
        <w:t>).</w:t>
      </w:r>
    </w:p>
    <w:p w:rsidR="008B702E" w:rsidRDefault="008B702E" w:rsidP="008B702E">
      <w:r>
        <w:t>Let</w:t>
      </w:r>
      <w:r>
        <w:tab/>
      </w:r>
      <w:proofErr w:type="spellStart"/>
      <w:r w:rsidR="00265E4D">
        <w:t>Z</w:t>
      </w:r>
      <w:r w:rsidR="00265E4D">
        <w:rPr>
          <w:rFonts w:cstheme="minorHAnsi"/>
          <w:vertAlign w:val="subscript"/>
        </w:rPr>
        <w:t>α</w:t>
      </w:r>
      <w:proofErr w:type="spellEnd"/>
      <w:r>
        <w:t xml:space="preserve"> = </w:t>
      </w:r>
      <w:r w:rsidR="00265E4D">
        <w:rPr>
          <w:rFonts w:cstheme="minorHAnsi"/>
        </w:rPr>
        <w:t>α</w:t>
      </w:r>
      <w:r w:rsidR="00265E4D">
        <w:t xml:space="preserve">% </w:t>
      </w:r>
      <w:proofErr w:type="gramStart"/>
      <w:r w:rsidR="00265E4D">
        <w:t>N(</w:t>
      </w:r>
      <w:proofErr w:type="gramEnd"/>
      <w:r w:rsidR="00265E4D">
        <w:t>0,1)</w:t>
      </w:r>
      <w:r>
        <w:tab/>
      </w:r>
      <w:r w:rsidR="00265E4D">
        <w:tab/>
      </w:r>
      <w:r>
        <w:t>where,</w:t>
      </w:r>
      <w:r>
        <w:tab/>
      </w:r>
      <w:r>
        <w:rPr>
          <w:rFonts w:cstheme="minorHAnsi"/>
        </w:rPr>
        <w:t>α</w:t>
      </w:r>
      <w:r>
        <w:t xml:space="preserve"> = error parameter</w:t>
      </w:r>
      <w:r w:rsidR="00BD385A">
        <w:t>.</w:t>
      </w:r>
    </w:p>
    <w:p w:rsidR="008B702E" w:rsidRPr="00D93BA4" w:rsidRDefault="00BD385A" w:rsidP="008B702E">
      <w:r>
        <w:t>Let</w:t>
      </w:r>
      <w:r>
        <w:tab/>
      </w:r>
      <w:proofErr w:type="spellStart"/>
      <w:r>
        <w:t>Z</w:t>
      </w:r>
      <w:r>
        <w:rPr>
          <w:rFonts w:cstheme="minorHAnsi"/>
          <w:vertAlign w:val="subscript"/>
        </w:rPr>
        <w:t>β</w:t>
      </w:r>
      <w:proofErr w:type="spellEnd"/>
      <w:r>
        <w:t xml:space="preserve"> = </w:t>
      </w:r>
      <w:r>
        <w:rPr>
          <w:rFonts w:cstheme="minorHAnsi"/>
        </w:rPr>
        <w:t>β</w:t>
      </w:r>
      <w:r>
        <w:t xml:space="preserve">% </w:t>
      </w:r>
      <w:proofErr w:type="gramStart"/>
      <w:r>
        <w:t>N(</w:t>
      </w:r>
      <w:proofErr w:type="gramEnd"/>
      <w:r>
        <w:t>0,1)</w:t>
      </w:r>
      <w:r>
        <w:tab/>
      </w:r>
      <w:r>
        <w:tab/>
        <w:t>where,</w:t>
      </w:r>
      <w:r>
        <w:tab/>
      </w:r>
      <w:r w:rsidR="008B702E">
        <w:rPr>
          <w:rFonts w:cstheme="minorHAnsi"/>
        </w:rPr>
        <w:t>β</w:t>
      </w:r>
      <w:r w:rsidR="008B702E">
        <w:t xml:space="preserve"> = power parameter.</w:t>
      </w:r>
    </w:p>
    <w:p w:rsidR="008B702E" w:rsidRDefault="008B702E" w:rsidP="008B702E">
      <w:r>
        <w:t>Let</w:t>
      </w: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oMath>
      <w:r>
        <w:t>=</w:t>
      </w:r>
      <w:r w:rsidR="00345DE5">
        <w:t xml:space="preserve"> sample mean of the </w:t>
      </w:r>
      <w:r w:rsidR="00345DE5">
        <w:rPr>
          <w:rFonts w:cstheme="minorHAnsi"/>
        </w:rPr>
        <w:t>X</w:t>
      </w:r>
      <w:r w:rsidR="00345DE5">
        <w:rPr>
          <w:rFonts w:cstheme="minorHAnsi"/>
          <w:vertAlign w:val="subscript"/>
        </w:rPr>
        <w:t>i</w:t>
      </w:r>
      <w:r w:rsidR="00345DE5">
        <w:rPr>
          <w:rFonts w:cstheme="minorHAnsi"/>
        </w:rPr>
        <w:t>’s</w:t>
      </w:r>
      <w:r w:rsidR="00345DE5">
        <w:rPr>
          <w:rFonts w:cstheme="minorHAnsi"/>
        </w:rPr>
        <w:tab/>
      </w:r>
      <w:r>
        <w:t>where,</w:t>
      </w:r>
      <w:r>
        <w:tab/>
      </w:r>
      <w:r w:rsidR="0071385D">
        <w:t>N</w:t>
      </w:r>
      <w:r>
        <w:t xml:space="preserve"> = </w:t>
      </w:r>
      <w:r w:rsidR="0071385D">
        <w:t xml:space="preserve">total </w:t>
      </w:r>
      <w:r>
        <w:t>number of plots measured.</w:t>
      </w:r>
    </w:p>
    <w:p w:rsidR="0035107D" w:rsidRPr="0035107D" w:rsidRDefault="0035107D" w:rsidP="008B702E">
      <w:r>
        <w:t xml:space="preserve">Let </w:t>
      </w:r>
      <w:r>
        <w:tab/>
      </w:r>
      <w:r>
        <w:rPr>
          <w:rFonts w:cstheme="minorHAnsi"/>
        </w:rPr>
        <w:t>S</w:t>
      </w:r>
      <w:r>
        <w:rPr>
          <w:rFonts w:cstheme="minorHAnsi"/>
          <w:vertAlign w:val="subscript"/>
        </w:rPr>
        <w:t>n</w:t>
      </w:r>
      <w:r>
        <w:rPr>
          <w:rFonts w:cstheme="minorHAnsi"/>
          <w:vertAlign w:val="superscript"/>
        </w:rPr>
        <w:t xml:space="preserve">2 </w:t>
      </w:r>
      <w:r>
        <w:rPr>
          <w:rFonts w:cstheme="minorHAnsi"/>
        </w:rPr>
        <w:t>= sample var</w:t>
      </w:r>
      <w:r w:rsidR="009B3518">
        <w:rPr>
          <w:rFonts w:cstheme="minorHAnsi"/>
        </w:rPr>
        <w:t>.</w:t>
      </w:r>
      <w:r>
        <w:rPr>
          <w:rFonts w:cstheme="minorHAnsi"/>
        </w:rPr>
        <w:t xml:space="preserve"> of the X</w:t>
      </w:r>
      <w:r>
        <w:rPr>
          <w:rFonts w:cstheme="minorHAnsi"/>
          <w:vertAlign w:val="subscript"/>
        </w:rPr>
        <w:t>i</w:t>
      </w:r>
      <w:r>
        <w:rPr>
          <w:rFonts w:cstheme="minorHAnsi"/>
        </w:rPr>
        <w:t>’s</w:t>
      </w:r>
      <w:r w:rsidR="009B3518">
        <w:rPr>
          <w:rFonts w:cstheme="minorHAnsi"/>
        </w:rPr>
        <w:tab/>
        <w:t>where</w:t>
      </w:r>
      <w:r w:rsidR="00F6640C">
        <w:rPr>
          <w:rFonts w:cstheme="minorHAnsi"/>
        </w:rPr>
        <w:t>,</w:t>
      </w:r>
      <w:r w:rsidR="009B3518">
        <w:rPr>
          <w:rFonts w:cstheme="minorHAnsi"/>
        </w:rPr>
        <w:t xml:space="preserve"> n = number of plot</w:t>
      </w:r>
      <w:r w:rsidR="00814845">
        <w:rPr>
          <w:rFonts w:cstheme="minorHAnsi"/>
        </w:rPr>
        <w:t>s</w:t>
      </w:r>
      <w:r w:rsidR="009B3518">
        <w:rPr>
          <w:rFonts w:cstheme="minorHAnsi"/>
        </w:rPr>
        <w:t xml:space="preserve"> measured</w:t>
      </w:r>
      <w:r>
        <w:rPr>
          <w:rFonts w:cstheme="minorHAnsi"/>
        </w:rPr>
        <w:t>.</w:t>
      </w:r>
    </w:p>
    <w:p w:rsidR="00814845" w:rsidRDefault="008B702E" w:rsidP="008B702E">
      <w:pPr>
        <w:rPr>
          <w:rFonts w:cstheme="minorHAnsi"/>
        </w:rPr>
      </w:pPr>
      <w:r>
        <w:t xml:space="preserve">Let </w:t>
      </w:r>
      <w:r>
        <w:tab/>
        <w:t xml:space="preserve">D = </w:t>
      </w:r>
      <w:r>
        <w:rPr>
          <w:rFonts w:cstheme="minorHAnsi"/>
        </w:rPr>
        <w:t xml:space="preserve">δ × </w:t>
      </w:r>
      <w:r w:rsidR="00814845" w:rsidRPr="00814845">
        <w:rPr>
          <w:rFonts w:cstheme="minorHAnsi"/>
          <w:position w:val="-12"/>
        </w:rPr>
        <w:object w:dxaOrig="3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1pt" o:ole="">
            <v:imagedata r:id="rId7" o:title=""/>
          </v:shape>
          <o:OLEObject Type="Embed" ProgID="Equation.DSMT4" ShapeID="_x0000_i1025" DrawAspect="Content" ObjectID="_1407580571" r:id="rId8"/>
        </w:object>
      </w:r>
      <w:r w:rsidR="00814845">
        <w:rPr>
          <w:rFonts w:cstheme="minorHAnsi"/>
        </w:rPr>
        <w:tab/>
      </w:r>
      <w:r w:rsidR="00681336">
        <w:rPr>
          <w:vertAlign w:val="subscript"/>
        </w:rPr>
        <w:tab/>
      </w:r>
      <w:r>
        <w:t>where,</w:t>
      </w:r>
      <w:r>
        <w:rPr>
          <w:rFonts w:cstheme="minorHAnsi"/>
        </w:rPr>
        <w:tab/>
        <w:t>δ = percent deviation allowed (i.e. 5%, 10%, 20%)</w:t>
      </w:r>
      <w:r w:rsidR="00814845">
        <w:rPr>
          <w:rFonts w:cstheme="minorHAnsi"/>
        </w:rPr>
        <w:t>,</w:t>
      </w:r>
    </w:p>
    <w:p w:rsidR="008B702E" w:rsidRDefault="00814845" w:rsidP="00814845">
      <w:pPr>
        <w:ind w:left="2880" w:firstLine="720"/>
        <w:rPr>
          <w:rFonts w:cstheme="minorHAnsi"/>
        </w:rPr>
      </w:pPr>
      <w:r w:rsidRPr="00814845">
        <w:rPr>
          <w:rFonts w:cstheme="minorHAnsi"/>
          <w:position w:val="-12"/>
        </w:rPr>
        <w:object w:dxaOrig="340" w:dyaOrig="420">
          <v:shape id="_x0000_i1026" type="#_x0000_t75" style="width:17.25pt;height:21pt" o:ole="">
            <v:imagedata r:id="rId7" o:title=""/>
          </v:shape>
          <o:OLEObject Type="Embed" ProgID="Equation.DSMT4" ShapeID="_x0000_i1026" DrawAspect="Content" ObjectID="_1407580572" r:id="rId9"/>
        </w:object>
      </w:r>
      <w:r>
        <w:rPr>
          <w:rFonts w:cstheme="minorHAnsi"/>
        </w:rPr>
        <w:t>= mean estimate from project</w:t>
      </w:r>
      <w:r w:rsidR="008B702E">
        <w:rPr>
          <w:rFonts w:cstheme="minorHAnsi"/>
        </w:rPr>
        <w:t>.</w:t>
      </w:r>
    </w:p>
    <w:p w:rsidR="00EC3AC9" w:rsidRPr="00EC3AC9" w:rsidRDefault="00EC3AC9" w:rsidP="008B702E">
      <w:r>
        <w:rPr>
          <w:rFonts w:cstheme="minorHAnsi"/>
        </w:rPr>
        <w:t xml:space="preserve">Let </w:t>
      </w:r>
      <w:r>
        <w:rPr>
          <w:rFonts w:cstheme="minorHAnsi"/>
        </w:rPr>
        <w:tab/>
        <w:t>K = (</w:t>
      </w:r>
      <w:proofErr w:type="spellStart"/>
      <w:r>
        <w:t>Z</w:t>
      </w:r>
      <w:r>
        <w:rPr>
          <w:rFonts w:cstheme="minorHAnsi"/>
          <w:vertAlign w:val="subscript"/>
        </w:rPr>
        <w:t>α</w:t>
      </w:r>
      <w:proofErr w:type="spellEnd"/>
      <w:r>
        <w:rPr>
          <w:rFonts w:cstheme="minorHAnsi"/>
        </w:rPr>
        <w:t xml:space="preserve"> × D) / (</w:t>
      </w:r>
      <w:proofErr w:type="spellStart"/>
      <w:r>
        <w:t>Z</w:t>
      </w:r>
      <w:r>
        <w:rPr>
          <w:rFonts w:cstheme="minorHAnsi"/>
          <w:vertAlign w:val="subscript"/>
        </w:rPr>
        <w:t>α</w:t>
      </w:r>
      <w:proofErr w:type="spellEnd"/>
      <w:r>
        <w:t xml:space="preserve"> + </w:t>
      </w:r>
      <w:proofErr w:type="spellStart"/>
      <w:r>
        <w:t>Z</w:t>
      </w:r>
      <w:r>
        <w:rPr>
          <w:rFonts w:cstheme="minorHAnsi"/>
          <w:vertAlign w:val="subscript"/>
        </w:rPr>
        <w:t>β</w:t>
      </w:r>
      <w:proofErr w:type="spellEnd"/>
      <w:r>
        <w:rPr>
          <w:rFonts w:cstheme="minorHAnsi"/>
        </w:rPr>
        <w:t>)</w:t>
      </w:r>
    </w:p>
    <w:p w:rsidR="008B702E" w:rsidRPr="00814845" w:rsidRDefault="008B702E" w:rsidP="00814845">
      <w:pPr>
        <w:pStyle w:val="Heading2"/>
        <w:rPr>
          <w:rStyle w:val="IntenseReference"/>
          <w:b/>
          <w:bCs/>
          <w:smallCaps w:val="0"/>
          <w:color w:val="6076B4" w:themeColor="accent1"/>
          <w:spacing w:val="0"/>
          <w:u w:val="none"/>
        </w:rPr>
      </w:pPr>
      <w:r w:rsidRPr="00814845">
        <w:rPr>
          <w:rStyle w:val="IntenseReference"/>
          <w:b/>
          <w:bCs/>
          <w:smallCaps w:val="0"/>
          <w:color w:val="6076B4" w:themeColor="accent1"/>
          <w:spacing w:val="0"/>
          <w:u w:val="none"/>
        </w:rPr>
        <w:t>Hypothesis</w:t>
      </w:r>
    </w:p>
    <w:p w:rsidR="008B702E" w:rsidRDefault="008B702E" w:rsidP="008B702E">
      <w:pPr>
        <w:rPr>
          <w:rFonts w:cstheme="minorHAnsi"/>
        </w:rPr>
      </w:pPr>
      <w:r>
        <w:t>H</w:t>
      </w:r>
      <w:r>
        <w:rPr>
          <w:vertAlign w:val="subscript"/>
        </w:rPr>
        <w:t>0</w:t>
      </w:r>
      <w:r>
        <w:t xml:space="preserve">: </w:t>
      </w:r>
      <w:r>
        <w:rPr>
          <w:rFonts w:cstheme="minorHAnsi"/>
        </w:rPr>
        <w:t>µ = 0</w:t>
      </w:r>
      <w:r>
        <w:rPr>
          <w:rFonts w:cstheme="minorHAnsi"/>
        </w:rPr>
        <w:tab/>
      </w:r>
      <w:r>
        <w:t>H</w:t>
      </w:r>
      <w:r>
        <w:rPr>
          <w:vertAlign w:val="subscript"/>
        </w:rPr>
        <w:t>A</w:t>
      </w:r>
      <w:r>
        <w:t xml:space="preserve">: </w:t>
      </w:r>
      <w:r>
        <w:rPr>
          <w:rFonts w:cstheme="minorHAnsi"/>
        </w:rPr>
        <w:t>µ = D</w:t>
      </w:r>
      <w:r>
        <w:t>.</w:t>
      </w:r>
    </w:p>
    <w:p w:rsidR="008B702E" w:rsidRDefault="008B702E" w:rsidP="008B702E">
      <w:pPr>
        <w:pStyle w:val="Heading2"/>
      </w:pPr>
      <w:r>
        <w:t>Parameters</w:t>
      </w:r>
    </w:p>
    <w:p w:rsidR="008B702E" w:rsidRDefault="008B702E" w:rsidP="008B702E">
      <w:r>
        <w:t xml:space="preserve">Set </w:t>
      </w:r>
      <w:r>
        <w:tab/>
      </w:r>
      <w:r>
        <w:rPr>
          <w:rFonts w:cstheme="minorHAnsi"/>
        </w:rPr>
        <w:t>δ</w:t>
      </w:r>
      <w:r>
        <w:t xml:space="preserve"> = 10%,</w:t>
      </w:r>
    </w:p>
    <w:p w:rsidR="008B702E" w:rsidRDefault="008B702E" w:rsidP="008B702E">
      <w:r>
        <w:tab/>
      </w:r>
      <w:r>
        <w:rPr>
          <w:rFonts w:cstheme="minorHAnsi"/>
        </w:rPr>
        <w:t>α</w:t>
      </w:r>
      <w:r>
        <w:t xml:space="preserve"> = 0.05,</w:t>
      </w:r>
    </w:p>
    <w:p w:rsidR="008B702E" w:rsidRDefault="008B702E" w:rsidP="008B702E">
      <w:r>
        <w:tab/>
      </w:r>
      <w:r>
        <w:rPr>
          <w:rFonts w:cstheme="minorHAnsi"/>
        </w:rPr>
        <w:t>β</w:t>
      </w:r>
      <w:r>
        <w:t xml:space="preserve"> = 0.20,</w:t>
      </w:r>
    </w:p>
    <w:p w:rsidR="008B702E" w:rsidRPr="005273C0" w:rsidRDefault="008B702E" w:rsidP="008B702E">
      <w:pPr>
        <w:ind w:firstLine="720"/>
      </w:pPr>
      <w:proofErr w:type="gramStart"/>
      <w:r>
        <w:t>minimum</w:t>
      </w:r>
      <w:proofErr w:type="gramEnd"/>
      <w:r>
        <w:t xml:space="preserve"> number of plots = 5.</w:t>
      </w:r>
    </w:p>
    <w:p w:rsidR="008B702E" w:rsidRDefault="008B702E" w:rsidP="008B702E">
      <w:pPr>
        <w:pStyle w:val="Heading2"/>
      </w:pPr>
      <w:r>
        <w:t>Procedure</w:t>
      </w:r>
    </w:p>
    <w:p w:rsidR="008B702E" w:rsidRDefault="008B702E" w:rsidP="008B702E">
      <w:pPr>
        <w:pStyle w:val="ListParagraph"/>
        <w:numPr>
          <w:ilvl w:val="0"/>
          <w:numId w:val="3"/>
        </w:numPr>
      </w:pPr>
      <w:r>
        <w:t>Sample a minimum number of plots, but never less than 2.</w:t>
      </w:r>
    </w:p>
    <w:p w:rsidR="008B702E" w:rsidRPr="000D375D" w:rsidRDefault="008B702E" w:rsidP="008B702E">
      <w:pPr>
        <w:pStyle w:val="ListParagraph"/>
        <w:numPr>
          <w:ilvl w:val="0"/>
          <w:numId w:val="3"/>
        </w:numPr>
      </w:pPr>
      <w:r>
        <w:t xml:space="preserve">If n </w:t>
      </w:r>
      <w:r>
        <w:rPr>
          <w:rFonts w:cstheme="minorHAnsi"/>
        </w:rPr>
        <w:t xml:space="preserve">≥ </w:t>
      </w:r>
      <w:r w:rsidR="00BE6E2C">
        <w:rPr>
          <w:rFonts w:cstheme="minorHAnsi"/>
        </w:rPr>
        <w:t>(</w:t>
      </w:r>
      <w:r>
        <w:rPr>
          <w:rFonts w:cstheme="minorHAnsi"/>
        </w:rPr>
        <w:t>(</w:t>
      </w:r>
      <w:proofErr w:type="spellStart"/>
      <w:r w:rsidR="00BE6E2C">
        <w:rPr>
          <w:rFonts w:cstheme="minorHAnsi"/>
        </w:rPr>
        <w:t>Z</w:t>
      </w:r>
      <w:r w:rsidR="00BE6E2C">
        <w:rPr>
          <w:rFonts w:cstheme="minorHAnsi"/>
          <w:vertAlign w:val="subscript"/>
        </w:rPr>
        <w:t>α</w:t>
      </w:r>
      <w:proofErr w:type="spellEnd"/>
      <w:r>
        <w:rPr>
          <w:rFonts w:cstheme="minorHAnsi"/>
        </w:rPr>
        <w:t xml:space="preserve"> + </w:t>
      </w:r>
      <w:proofErr w:type="spellStart"/>
      <w:r w:rsidR="00BE6E2C">
        <w:rPr>
          <w:rFonts w:cstheme="minorHAnsi"/>
        </w:rPr>
        <w:t>Z</w:t>
      </w:r>
      <w:r w:rsidR="00BE6E2C">
        <w:rPr>
          <w:rFonts w:cstheme="minorHAnsi"/>
          <w:vertAlign w:val="subscript"/>
        </w:rPr>
        <w:t>β</w:t>
      </w:r>
      <w:proofErr w:type="spellEnd"/>
      <w:r>
        <w:rPr>
          <w:rFonts w:cstheme="minorHAnsi"/>
        </w:rPr>
        <w:t>)</w:t>
      </w:r>
      <w:r w:rsidR="00BE6E2C">
        <w:rPr>
          <w:rFonts w:cstheme="minorHAnsi"/>
          <w:vertAlign w:val="superscript"/>
        </w:rPr>
        <w:t>2</w:t>
      </w:r>
      <w:r w:rsidR="00BE6E2C">
        <w:rPr>
          <w:rFonts w:cstheme="minorHAnsi"/>
        </w:rPr>
        <w:t xml:space="preserve"> × S</w:t>
      </w:r>
      <w:r w:rsidR="00BE6E2C">
        <w:rPr>
          <w:rFonts w:cstheme="minorHAnsi"/>
          <w:vertAlign w:val="subscript"/>
        </w:rPr>
        <w:t>n</w:t>
      </w:r>
      <w:r w:rsidR="00BE6E2C">
        <w:rPr>
          <w:rFonts w:cstheme="minorHAnsi"/>
          <w:vertAlign w:val="superscript"/>
        </w:rPr>
        <w:t>2</w:t>
      </w:r>
      <w:r>
        <w:rPr>
          <w:rFonts w:cstheme="minorHAnsi"/>
        </w:rPr>
        <w:t>)</w:t>
      </w:r>
      <w:r w:rsidR="00BE6E2C">
        <w:rPr>
          <w:rFonts w:cstheme="minorHAnsi"/>
        </w:rPr>
        <w:t xml:space="preserve"> / </w:t>
      </w:r>
      <w:r w:rsidR="000A3EC2">
        <w:rPr>
          <w:rFonts w:cstheme="minorHAnsi"/>
        </w:rPr>
        <w:t>D</w:t>
      </w:r>
      <w:r w:rsidR="000A3EC2">
        <w:rPr>
          <w:rFonts w:cstheme="minorHAnsi"/>
          <w:vertAlign w:val="superscript"/>
        </w:rPr>
        <w:t>2</w:t>
      </w:r>
      <w:r>
        <w:rPr>
          <w:rFonts w:cstheme="minorHAnsi"/>
        </w:rPr>
        <w:t xml:space="preserve">  then  STOP and Evaluate</w:t>
      </w:r>
    </w:p>
    <w:p w:rsidR="008B702E" w:rsidRPr="009F12F9" w:rsidRDefault="008B702E" w:rsidP="008B702E">
      <w:pPr>
        <w:pStyle w:val="ListParagraph"/>
        <w:numPr>
          <w:ilvl w:val="1"/>
          <w:numId w:val="3"/>
        </w:numPr>
      </w:pPr>
      <w:r>
        <w:rPr>
          <w:rFonts w:cstheme="minorHAnsi"/>
        </w:rPr>
        <w:t xml:space="preserve">Evaluate: </w:t>
      </w:r>
    </w:p>
    <w:p w:rsidR="008B702E" w:rsidRDefault="008B702E" w:rsidP="008B702E">
      <w:pPr>
        <w:pStyle w:val="ListParagraph"/>
        <w:ind w:left="1440"/>
        <w:rPr>
          <w:rFonts w:cstheme="minorHAnsi"/>
        </w:rPr>
      </w:pPr>
    </w:p>
    <w:p w:rsidR="008B702E" w:rsidRDefault="008B702E" w:rsidP="008B702E">
      <w:pPr>
        <w:pStyle w:val="ListParagraph"/>
        <w:ind w:left="1440"/>
        <w:rPr>
          <w:rFonts w:cstheme="minorHAnsi"/>
        </w:rPr>
      </w:pPr>
      <w:r>
        <w:rPr>
          <w:rFonts w:cstheme="minorHAnsi"/>
        </w:rPr>
        <w:t xml:space="preserve">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oMath>
      <w:r w:rsidR="008A4118">
        <w:rPr>
          <w:rFonts w:eastAsiaTheme="minorEastAsia"/>
        </w:rPr>
        <w:t xml:space="preserve"> </w:t>
      </w:r>
      <w:r w:rsidR="008A4118">
        <w:rPr>
          <w:rFonts w:eastAsiaTheme="minorEastAsia" w:cstheme="minorHAnsi"/>
        </w:rPr>
        <w:t>≤</w:t>
      </w:r>
      <w:r w:rsidR="008A4118">
        <w:rPr>
          <w:rFonts w:eastAsiaTheme="minorEastAsia"/>
        </w:rPr>
        <w:t xml:space="preserve"> K</w:t>
      </w:r>
      <w:r w:rsidR="007A047D">
        <w:rPr>
          <w:rFonts w:cstheme="minorHAnsi"/>
        </w:rPr>
        <w:t xml:space="preserve"> </w:t>
      </w:r>
      <w:r>
        <w:rPr>
          <w:rFonts w:cstheme="minorHAnsi"/>
        </w:rPr>
        <w:t>then accept H</w:t>
      </w:r>
      <w:r>
        <w:rPr>
          <w:rFonts w:cstheme="minorHAnsi"/>
          <w:vertAlign w:val="subscript"/>
        </w:rPr>
        <w:t>0</w:t>
      </w:r>
      <w:r>
        <w:rPr>
          <w:rFonts w:cstheme="minorHAnsi"/>
        </w:rPr>
        <w:t>,</w:t>
      </w:r>
    </w:p>
    <w:p w:rsidR="008B702E" w:rsidRPr="00AF4EE7" w:rsidRDefault="00830C13" w:rsidP="008B702E">
      <w:pPr>
        <w:pStyle w:val="ListParagraph"/>
        <w:ind w:left="1440"/>
        <w:rPr>
          <w:rFonts w:cstheme="minorHAnsi"/>
        </w:rPr>
      </w:pPr>
      <w:r>
        <w:rPr>
          <w:rFonts w:cstheme="minorHAnsi"/>
        </w:rPr>
        <w:t xml:space="preserve">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oMath>
      <w:r>
        <w:rPr>
          <w:rFonts w:eastAsiaTheme="minorEastAsia"/>
        </w:rPr>
        <w:t xml:space="preserve"> </w:t>
      </w:r>
      <w:r>
        <w:rPr>
          <w:rFonts w:eastAsiaTheme="minorEastAsia" w:cstheme="minorHAnsi"/>
        </w:rPr>
        <w:t xml:space="preserve">&gt; </w:t>
      </w:r>
      <w:r>
        <w:rPr>
          <w:rFonts w:eastAsiaTheme="minorEastAsia"/>
        </w:rPr>
        <w:t>K</w:t>
      </w:r>
      <w:r>
        <w:rPr>
          <w:rFonts w:cstheme="minorHAnsi"/>
        </w:rPr>
        <w:t xml:space="preserve"> then </w:t>
      </w:r>
      <w:r w:rsidR="008B702E">
        <w:rPr>
          <w:rFonts w:cstheme="minorHAnsi"/>
        </w:rPr>
        <w:t>reject H</w:t>
      </w:r>
      <w:r w:rsidR="008B702E">
        <w:rPr>
          <w:rFonts w:cstheme="minorHAnsi"/>
          <w:vertAlign w:val="subscript"/>
        </w:rPr>
        <w:t>0</w:t>
      </w:r>
      <w:r w:rsidR="008B702E">
        <w:rPr>
          <w:rFonts w:cstheme="minorHAnsi"/>
        </w:rPr>
        <w:t>.</w:t>
      </w:r>
    </w:p>
    <w:p w:rsidR="008B702E" w:rsidRPr="001345AB" w:rsidRDefault="008B702E" w:rsidP="008B702E">
      <w:pPr>
        <w:pStyle w:val="ListParagraph"/>
        <w:ind w:left="1440"/>
      </w:pPr>
    </w:p>
    <w:p w:rsidR="008B702E" w:rsidRPr="001345AB" w:rsidRDefault="008B702E" w:rsidP="008B702E">
      <w:pPr>
        <w:pStyle w:val="ListParagraph"/>
        <w:numPr>
          <w:ilvl w:val="0"/>
          <w:numId w:val="3"/>
        </w:numPr>
      </w:pPr>
      <w:r>
        <w:rPr>
          <w:rFonts w:cstheme="minorHAnsi"/>
        </w:rPr>
        <w:t>Otherwise, take one more sample and return to step 2.</w:t>
      </w:r>
    </w:p>
    <w:p w:rsidR="008B702E" w:rsidRDefault="008B702E" w:rsidP="008B702E">
      <w:pPr>
        <w:pStyle w:val="Heading2"/>
      </w:pPr>
      <w:r>
        <w:t>Spreadsheet Use</w:t>
      </w:r>
    </w:p>
    <w:p w:rsidR="008B702E" w:rsidRDefault="008B702E" w:rsidP="008B702E">
      <w:r>
        <w:t xml:space="preserve">Enter the data from the project inventory and parameters in the orange cells in the upper </w:t>
      </w:r>
      <w:r w:rsidR="004241C7">
        <w:t>left</w:t>
      </w:r>
      <w:r>
        <w:t xml:space="preserve"> of the worksheet. Then enter the project and validation plot data in the orange cells, as the data is collected. There is a figure to the right that shows how the data looks relative to the stop-sampling thresholds. The “Condition” column will tell you whether to sample another plot or if the stopping condition is met. If the stopping condition is met then it will also tell you the results of the test.</w:t>
      </w:r>
    </w:p>
    <w:p w:rsidR="00D44129" w:rsidRDefault="00D44129" w:rsidP="00D44129">
      <w:pPr>
        <w:pStyle w:val="Heading1"/>
      </w:pPr>
      <w:r>
        <w:t>Unpaired Test, Variance Unknown</w:t>
      </w:r>
    </w:p>
    <w:p w:rsidR="00D44129" w:rsidRDefault="00D44129" w:rsidP="00D44129">
      <w:r>
        <w:t xml:space="preserve">We assume that the verification plots cannot be paired with project plots. </w:t>
      </w:r>
      <w:r w:rsidR="001310E8">
        <w:t>This test is based on a comparison of two normal means where sampling is conducted from each population until sufficient data from each is collected to construct a fixed confidence interval. In this case we assume that sufficient data has been collected from the project inventory and only collect additional data from the verification sample.</w:t>
      </w:r>
    </w:p>
    <w:p w:rsidR="00D44129" w:rsidRDefault="00D44129" w:rsidP="00D44129">
      <w:pPr>
        <w:pStyle w:val="Heading2"/>
      </w:pPr>
      <w:r>
        <w:t>Definitions</w:t>
      </w:r>
    </w:p>
    <w:p w:rsidR="00D44129" w:rsidRDefault="00D44129" w:rsidP="00D44129">
      <w:r>
        <w:t xml:space="preserve">Let </w:t>
      </w:r>
      <w:r>
        <w:tab/>
        <w:t>X</w:t>
      </w:r>
      <w:r>
        <w:rPr>
          <w:vertAlign w:val="subscript"/>
        </w:rPr>
        <w:t>i</w:t>
      </w:r>
      <w:r>
        <w:t xml:space="preserve"> = </w:t>
      </w:r>
      <w:proofErr w:type="gramStart"/>
      <w:r>
        <w:t>V</w:t>
      </w:r>
      <w:r>
        <w:rPr>
          <w:vertAlign w:val="subscript"/>
        </w:rPr>
        <w:t>i</w:t>
      </w:r>
      <w:proofErr w:type="gramEnd"/>
      <w:r>
        <w:t xml:space="preserve"> </w:t>
      </w:r>
      <w:r>
        <w:tab/>
      </w:r>
      <w:r>
        <w:tab/>
        <w:t xml:space="preserve">where, </w:t>
      </w:r>
      <w:r>
        <w:tab/>
        <w:t>V</w:t>
      </w:r>
      <w:r>
        <w:rPr>
          <w:vertAlign w:val="subscript"/>
        </w:rPr>
        <w:t>i</w:t>
      </w:r>
      <w:r>
        <w:t xml:space="preserve"> = verification mean on plot </w:t>
      </w:r>
      <w:proofErr w:type="spellStart"/>
      <w:r>
        <w:t>i</w:t>
      </w:r>
      <w:proofErr w:type="spellEnd"/>
      <w:r>
        <w:t>,</w:t>
      </w:r>
    </w:p>
    <w:p w:rsidR="00D44129" w:rsidRDefault="00D44129" w:rsidP="00D44129">
      <w:pPr>
        <w:ind w:left="2160" w:firstLine="720"/>
      </w:pPr>
      <w:r>
        <w:t>X</w:t>
      </w:r>
      <w:r>
        <w:rPr>
          <w:vertAlign w:val="subscript"/>
        </w:rPr>
        <w:t>1</w:t>
      </w:r>
      <w:r>
        <w:t xml:space="preserve">, </w:t>
      </w:r>
      <w:proofErr w:type="gramStart"/>
      <w:r>
        <w:t>X</w:t>
      </w:r>
      <w:r>
        <w:rPr>
          <w:vertAlign w:val="subscript"/>
        </w:rPr>
        <w:t>2</w:t>
      </w:r>
      <w:r>
        <w:t>, …</w:t>
      </w:r>
      <w:proofErr w:type="gramEnd"/>
      <w:r>
        <w:t xml:space="preserve"> is </w:t>
      </w:r>
      <w:proofErr w:type="spellStart"/>
      <w:r>
        <w:t>iid</w:t>
      </w:r>
      <w:proofErr w:type="spellEnd"/>
      <w:r>
        <w:t xml:space="preserve"> N(</w:t>
      </w:r>
      <w:r>
        <w:rPr>
          <w:rFonts w:cstheme="minorHAnsi"/>
        </w:rPr>
        <w:t>µ</w:t>
      </w:r>
      <w:r>
        <w:rPr>
          <w:rFonts w:cstheme="minorHAnsi"/>
          <w:vertAlign w:val="subscript"/>
        </w:rPr>
        <w:t>V</w:t>
      </w:r>
      <w:r>
        <w:t xml:space="preserve">, </w:t>
      </w:r>
      <w:r>
        <w:rPr>
          <w:rFonts w:cstheme="minorHAnsi"/>
        </w:rPr>
        <w:t>σ</w:t>
      </w:r>
      <w:r>
        <w:rPr>
          <w:rFonts w:cstheme="minorHAnsi"/>
          <w:vertAlign w:val="subscript"/>
        </w:rPr>
        <w:t>V</w:t>
      </w:r>
      <w:r>
        <w:rPr>
          <w:rFonts w:cstheme="minorHAnsi"/>
          <w:vertAlign w:val="superscript"/>
        </w:rPr>
        <w:t>2</w:t>
      </w:r>
      <w:r>
        <w:t>).</w:t>
      </w:r>
    </w:p>
    <w:p w:rsidR="00D44129" w:rsidRDefault="00D44129" w:rsidP="00D44129">
      <w:pPr>
        <w:rPr>
          <w:rFonts w:eastAsiaTheme="minorEastAsia"/>
        </w:rPr>
      </w:pPr>
      <w:r>
        <w:t>Let</w:t>
      </w:r>
      <w:r>
        <w:tab/>
      </w:r>
      <w:proofErr w:type="spellStart"/>
      <w:proofErr w:type="gramStart"/>
      <w:r w:rsidR="00124132">
        <w:t>T</w:t>
      </w:r>
      <w:r w:rsidRPr="00124132">
        <w:rPr>
          <w:vertAlign w:val="subscript"/>
        </w:rPr>
        <w:t>n</w:t>
      </w:r>
      <w:proofErr w:type="spellEnd"/>
      <w:proofErr w:type="gramEnd"/>
      <w:r>
        <w:t xml:space="preserve"> =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t>
            </m:r>
          </m:sub>
        </m:sSub>
      </m:oMath>
      <w:r w:rsidR="00124132">
        <w:rPr>
          <w:rFonts w:eastAsiaTheme="minorEastAsia"/>
        </w:rPr>
        <w:t xml:space="preserve"> -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sSub>
              <m:sSubPr>
                <m:ctrlPr>
                  <w:rPr>
                    <w:rFonts w:ascii="Cambria Math" w:hAnsi="Cambria Math"/>
                    <w:i/>
                  </w:rPr>
                </m:ctrlPr>
              </m:sSubPr>
              <m:e>
                <m:r>
                  <w:rPr>
                    <w:rFonts w:ascii="Cambria Math" w:hAnsi="Cambria Math"/>
                  </w:rPr>
                  <m:t>n</m:t>
                </m:r>
              </m:e>
              <m:sub>
                <m:r>
                  <w:rPr>
                    <w:rFonts w:ascii="Cambria Math" w:hAnsi="Cambria Math"/>
                  </w:rPr>
                  <m:t>v</m:t>
                </m:r>
              </m:sub>
            </m:sSub>
          </m:sub>
        </m:sSub>
      </m:oMath>
      <w:r w:rsidR="008D0666">
        <w:rPr>
          <w:rFonts w:eastAsiaTheme="minorEastAsia"/>
        </w:rPr>
        <w:tab/>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t>
            </m:r>
          </m:sub>
        </m:sSub>
      </m:oMath>
      <w:r w:rsidR="008D0666">
        <w:rPr>
          <w:rFonts w:eastAsiaTheme="minorEastAsia"/>
        </w:rPr>
        <w:t xml:space="preserve"> = project mean,</w:t>
      </w:r>
    </w:p>
    <w:p w:rsidR="008D0666" w:rsidRDefault="00EC0B43" w:rsidP="008D0666">
      <w:pPr>
        <w:ind w:left="2160" w:firstLine="72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oMath>
      <w:r w:rsidR="008D0666">
        <w:rPr>
          <w:rFonts w:eastAsiaTheme="minorEastAsia"/>
        </w:rPr>
        <w:t xml:space="preserve"> = verification mean after sample n.</w:t>
      </w:r>
    </w:p>
    <w:p w:rsidR="00D44129" w:rsidRDefault="00D44129" w:rsidP="00D44129">
      <w:r>
        <w:t xml:space="preserve">Let </w:t>
      </w:r>
      <w:r>
        <w:tab/>
        <w:t xml:space="preserve">D = </w:t>
      </w:r>
      <w:r>
        <w:rPr>
          <w:rFonts w:cstheme="minorHAnsi"/>
        </w:rPr>
        <w:t>δ × µ</w:t>
      </w:r>
      <w:r>
        <w:rPr>
          <w:vertAlign w:val="subscript"/>
        </w:rPr>
        <w:t>P</w:t>
      </w:r>
      <w:r>
        <w:rPr>
          <w:vertAlign w:val="subscript"/>
        </w:rPr>
        <w:tab/>
      </w:r>
      <w:r>
        <w:t>where,</w:t>
      </w:r>
      <w:r>
        <w:rPr>
          <w:rFonts w:cstheme="minorHAnsi"/>
        </w:rPr>
        <w:tab/>
        <w:t>δ = percent deviation allowed (i.e. 5%, 10%, 20%).</w:t>
      </w:r>
    </w:p>
    <w:p w:rsidR="002C1FD6" w:rsidRPr="002C1FD6" w:rsidRDefault="002C1FD6" w:rsidP="00D44129">
      <w:pPr>
        <w:rPr>
          <w:vertAlign w:val="subscript"/>
        </w:rPr>
      </w:pPr>
      <w:r>
        <w:t xml:space="preserve">Let </w:t>
      </w:r>
      <w:r>
        <w:tab/>
        <w:t xml:space="preserve">n = </w:t>
      </w:r>
      <w:proofErr w:type="spellStart"/>
      <w:r>
        <w:t>n</w:t>
      </w:r>
      <w:r>
        <w:rPr>
          <w:vertAlign w:val="subscript"/>
        </w:rPr>
        <w:t>P</w:t>
      </w:r>
      <w:proofErr w:type="spellEnd"/>
      <w:r>
        <w:t xml:space="preserve"> + </w:t>
      </w:r>
      <w:proofErr w:type="spellStart"/>
      <w:proofErr w:type="gramStart"/>
      <w:r>
        <w:t>n</w:t>
      </w:r>
      <w:r>
        <w:rPr>
          <w:vertAlign w:val="subscript"/>
        </w:rPr>
        <w:t>V</w:t>
      </w:r>
      <w:proofErr w:type="spellEnd"/>
      <w:proofErr w:type="gramEnd"/>
      <w:r>
        <w:rPr>
          <w:vertAlign w:val="subscript"/>
        </w:rPr>
        <w:t>.</w:t>
      </w:r>
    </w:p>
    <w:p w:rsidR="00D44129" w:rsidRPr="00FD1EE0" w:rsidRDefault="00D44129" w:rsidP="00D44129">
      <w:r>
        <w:t>Let</w:t>
      </w:r>
      <w:r>
        <w:tab/>
      </w:r>
      <w:r w:rsidR="00E04C9B">
        <w:t>a</w:t>
      </w:r>
      <w:r>
        <w:t xml:space="preserve"> = </w:t>
      </w:r>
      <w:r w:rsidR="00E04C9B">
        <w:t>50</w:t>
      </w:r>
      <w:r w:rsidR="00E04C9B">
        <w:rPr>
          <w:rFonts w:cstheme="minorHAnsi"/>
        </w:rPr>
        <w:t>α</w:t>
      </w:r>
      <w:r w:rsidR="00E04C9B">
        <w:t xml:space="preserve">% </w:t>
      </w:r>
      <w:proofErr w:type="gramStart"/>
      <w:r w:rsidR="00E04C9B">
        <w:t>N(</w:t>
      </w:r>
      <w:proofErr w:type="gramEnd"/>
      <w:r w:rsidR="00E04C9B">
        <w:t>0,1)</w:t>
      </w:r>
      <w:r>
        <w:rPr>
          <w:rFonts w:cstheme="minorHAnsi"/>
        </w:rPr>
        <w:t>.</w:t>
      </w:r>
    </w:p>
    <w:p w:rsidR="00D44129" w:rsidRPr="005C0907" w:rsidRDefault="00D44129" w:rsidP="005C0907">
      <w:pPr>
        <w:pStyle w:val="Heading2"/>
        <w:rPr>
          <w:rStyle w:val="IntenseReference"/>
          <w:b/>
          <w:bCs/>
          <w:smallCaps w:val="0"/>
          <w:color w:val="6076B4" w:themeColor="accent1"/>
          <w:spacing w:val="0"/>
          <w:u w:val="none"/>
        </w:rPr>
      </w:pPr>
      <w:r w:rsidRPr="005C0907">
        <w:rPr>
          <w:rStyle w:val="IntenseReference"/>
          <w:b/>
          <w:bCs/>
          <w:smallCaps w:val="0"/>
          <w:color w:val="6076B4" w:themeColor="accent1"/>
          <w:spacing w:val="0"/>
          <w:u w:val="none"/>
        </w:rPr>
        <w:t>Hypothesis</w:t>
      </w:r>
    </w:p>
    <w:p w:rsidR="00D44129" w:rsidRDefault="00D44129" w:rsidP="00D44129">
      <w:pPr>
        <w:rPr>
          <w:rFonts w:cstheme="minorHAnsi"/>
        </w:rPr>
      </w:pPr>
      <w:r>
        <w:t>H</w:t>
      </w:r>
      <w:r>
        <w:rPr>
          <w:vertAlign w:val="subscript"/>
        </w:rPr>
        <w:t>0</w:t>
      </w:r>
      <w:r>
        <w:t xml:space="preserve">: </w:t>
      </w:r>
      <w:r>
        <w:rPr>
          <w:rFonts w:cstheme="minorHAnsi"/>
        </w:rPr>
        <w:t>µ</w:t>
      </w:r>
      <w:r>
        <w:rPr>
          <w:rFonts w:cstheme="minorHAnsi"/>
          <w:vertAlign w:val="subscript"/>
        </w:rPr>
        <w:t>V</w:t>
      </w:r>
      <w:r>
        <w:rPr>
          <w:rFonts w:cstheme="minorHAnsi"/>
        </w:rPr>
        <w:t xml:space="preserve"> = µ</w:t>
      </w:r>
      <w:r>
        <w:rPr>
          <w:rFonts w:cstheme="minorHAnsi"/>
          <w:vertAlign w:val="subscript"/>
        </w:rPr>
        <w:t>P</w:t>
      </w:r>
      <w:r>
        <w:rPr>
          <w:rFonts w:cstheme="minorHAnsi"/>
        </w:rPr>
        <w:tab/>
      </w:r>
      <w:r>
        <w:t>H</w:t>
      </w:r>
      <w:r>
        <w:rPr>
          <w:vertAlign w:val="subscript"/>
        </w:rPr>
        <w:t>A</w:t>
      </w:r>
      <w:r>
        <w:t xml:space="preserve">: </w:t>
      </w:r>
      <w:r>
        <w:rPr>
          <w:rFonts w:cstheme="minorHAnsi"/>
        </w:rPr>
        <w:t>µ</w:t>
      </w:r>
      <w:r>
        <w:rPr>
          <w:rFonts w:cstheme="minorHAnsi"/>
          <w:vertAlign w:val="subscript"/>
        </w:rPr>
        <w:t>V</w:t>
      </w:r>
      <w:r>
        <w:rPr>
          <w:rFonts w:cstheme="minorHAnsi"/>
        </w:rPr>
        <w:t xml:space="preserve"> = µ</w:t>
      </w:r>
      <w:r w:rsidR="005C0907">
        <w:rPr>
          <w:rFonts w:cstheme="minorHAnsi"/>
          <w:vertAlign w:val="subscript"/>
        </w:rPr>
        <w:t>P</w:t>
      </w:r>
      <w:r>
        <w:rPr>
          <w:rFonts w:cstheme="minorHAnsi"/>
        </w:rPr>
        <w:t xml:space="preserve"> + D</w:t>
      </w:r>
      <w:r>
        <w:t>.</w:t>
      </w:r>
    </w:p>
    <w:p w:rsidR="00D44129" w:rsidRDefault="00D44129" w:rsidP="00D44129">
      <w:pPr>
        <w:pStyle w:val="Heading2"/>
      </w:pPr>
      <w:r>
        <w:t>Parameters</w:t>
      </w:r>
    </w:p>
    <w:p w:rsidR="00D44129" w:rsidRDefault="00D44129" w:rsidP="00D44129">
      <w:r>
        <w:t xml:space="preserve">Set </w:t>
      </w:r>
      <w:r>
        <w:tab/>
      </w:r>
      <w:r>
        <w:rPr>
          <w:rFonts w:cstheme="minorHAnsi"/>
        </w:rPr>
        <w:t>δ</w:t>
      </w:r>
      <w:r>
        <w:t xml:space="preserve"> = 10%,</w:t>
      </w:r>
    </w:p>
    <w:p w:rsidR="00D44129" w:rsidRDefault="00D44129" w:rsidP="00D44129">
      <w:r>
        <w:tab/>
      </w:r>
      <w:r>
        <w:rPr>
          <w:rFonts w:cstheme="minorHAnsi"/>
        </w:rPr>
        <w:t>α</w:t>
      </w:r>
      <w:r>
        <w:t xml:space="preserve"> = 0.05,</w:t>
      </w:r>
    </w:p>
    <w:p w:rsidR="00D44129" w:rsidRPr="005273C0" w:rsidRDefault="00D44129" w:rsidP="00CD2D0E">
      <w:r>
        <w:tab/>
      </w:r>
      <w:proofErr w:type="gramStart"/>
      <w:r>
        <w:t>minimum</w:t>
      </w:r>
      <w:proofErr w:type="gramEnd"/>
      <w:r>
        <w:t xml:space="preserve"> number of plots = 5.</w:t>
      </w:r>
    </w:p>
    <w:p w:rsidR="00D44129" w:rsidRDefault="00D44129" w:rsidP="00D44129">
      <w:pPr>
        <w:pStyle w:val="Heading2"/>
      </w:pPr>
      <w:r>
        <w:lastRenderedPageBreak/>
        <w:t>Procedure</w:t>
      </w:r>
    </w:p>
    <w:p w:rsidR="00D44129" w:rsidRDefault="00D44129" w:rsidP="00D44129">
      <w:pPr>
        <w:pStyle w:val="ListParagraph"/>
        <w:numPr>
          <w:ilvl w:val="0"/>
          <w:numId w:val="5"/>
        </w:numPr>
      </w:pPr>
      <w:r>
        <w:t>Sample a minimum number of plots, but never less than 2.</w:t>
      </w:r>
    </w:p>
    <w:p w:rsidR="0020789A" w:rsidRDefault="0020789A" w:rsidP="00D44129">
      <w:pPr>
        <w:pStyle w:val="ListParagraph"/>
        <w:numPr>
          <w:ilvl w:val="0"/>
          <w:numId w:val="5"/>
        </w:numPr>
      </w:pPr>
      <w:r>
        <w:t xml:space="preserve">Calculate </w:t>
      </w:r>
      <m:oMath>
        <m:sSub>
          <m:sSubPr>
            <m:ctrlPr>
              <w:rPr>
                <w:rFonts w:ascii="Cambria Math" w:hAnsi="Cambria Math"/>
                <w:i/>
              </w:rPr>
            </m:ctrlPr>
          </m:sSub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e>
          <m:sub>
            <m:r>
              <w:rPr>
                <w:rFonts w:ascii="Cambria Math" w:hAnsi="Cambria Math"/>
              </w:rPr>
              <m:t>v</m:t>
            </m:r>
          </m:sub>
        </m:sSub>
      </m:oMath>
      <w:r>
        <w:rPr>
          <w:rFonts w:eastAsiaTheme="minorEastAsia"/>
        </w:rPr>
        <w:t>,</w:t>
      </w:r>
      <w:r>
        <w:t xml:space="preserve"> </w:t>
      </w:r>
      <w:proofErr w:type="spellStart"/>
      <w:r>
        <w:t>T</w:t>
      </w:r>
      <w:r>
        <w:rPr>
          <w:vertAlign w:val="subscript"/>
        </w:rPr>
        <w:t>n</w:t>
      </w:r>
      <w:proofErr w:type="spellEnd"/>
      <w:r>
        <w:t xml:space="preserve">, and </w:t>
      </w:r>
      <w:r w:rsidR="00E1542F">
        <w:t xml:space="preserve"> </w:t>
      </w:r>
      <w:r w:rsidR="00E1542F" w:rsidRPr="00487EA1">
        <w:rPr>
          <w:position w:val="-14"/>
        </w:rPr>
        <w:object w:dxaOrig="340" w:dyaOrig="400">
          <v:shape id="_x0000_i1027" type="#_x0000_t75" style="width:17.25pt;height:20.25pt" o:ole="">
            <v:imagedata r:id="rId10" o:title=""/>
          </v:shape>
          <o:OLEObject Type="Embed" ProgID="Equation.DSMT4" ShapeID="_x0000_i1027" DrawAspect="Content" ObjectID="_1407580573" r:id="rId11"/>
        </w:object>
      </w:r>
    </w:p>
    <w:p w:rsidR="00D44129" w:rsidRPr="000D375D" w:rsidRDefault="00D44129" w:rsidP="00D44129">
      <w:pPr>
        <w:pStyle w:val="ListParagraph"/>
        <w:numPr>
          <w:ilvl w:val="0"/>
          <w:numId w:val="5"/>
        </w:numPr>
      </w:pPr>
      <w:r>
        <w:t xml:space="preserve">If n </w:t>
      </w:r>
      <w:r w:rsidR="0026168B">
        <w:rPr>
          <w:rFonts w:cstheme="minorHAnsi"/>
        </w:rPr>
        <w:t>≥</w:t>
      </w:r>
      <w:r>
        <w:rPr>
          <w:rFonts w:cstheme="minorHAnsi"/>
        </w:rPr>
        <w:t xml:space="preserve"> </w:t>
      </w:r>
      <w:r w:rsidR="0026168B">
        <w:rPr>
          <w:rFonts w:cstheme="minorHAnsi"/>
        </w:rPr>
        <w:t>(a</w:t>
      </w:r>
      <w:r w:rsidR="0026168B">
        <w:rPr>
          <w:rFonts w:cstheme="minorHAnsi"/>
          <w:vertAlign w:val="superscript"/>
        </w:rPr>
        <w:t>2</w:t>
      </w:r>
      <w:r w:rsidR="00D07D81">
        <w:rPr>
          <w:rFonts w:cstheme="minorHAnsi"/>
        </w:rPr>
        <w:t>/D</w:t>
      </w:r>
      <w:r w:rsidR="0026168B">
        <w:rPr>
          <w:rFonts w:cstheme="minorHAnsi"/>
          <w:vertAlign w:val="superscript"/>
        </w:rPr>
        <w:t>2</w:t>
      </w:r>
      <w:r w:rsidR="0026168B">
        <w:rPr>
          <w:rFonts w:cstheme="minorHAnsi"/>
        </w:rPr>
        <w:t xml:space="preserve">) × </w:t>
      </w:r>
      <w:r>
        <w:rPr>
          <w:rFonts w:cstheme="minorHAnsi"/>
        </w:rPr>
        <w:t>(</w:t>
      </w:r>
      <w:r w:rsidR="00DB6F96">
        <w:t>S</w:t>
      </w:r>
      <w:r w:rsidR="00DB6F96">
        <w:rPr>
          <w:vertAlign w:val="subscript"/>
        </w:rPr>
        <w:t>n</w:t>
      </w:r>
      <w:r w:rsidR="00DB6F96">
        <w:rPr>
          <w:vertAlign w:val="superscript"/>
        </w:rPr>
        <w:t>2</w:t>
      </w:r>
      <w:r>
        <w:rPr>
          <w:rFonts w:cstheme="minorHAnsi"/>
        </w:rPr>
        <w:t xml:space="preserve"> + </w:t>
      </w:r>
      <w:r w:rsidR="0036395F">
        <w:rPr>
          <w:rFonts w:cstheme="minorHAnsi"/>
        </w:rPr>
        <w:t>S</w:t>
      </w:r>
      <w:r w:rsidR="0036395F">
        <w:rPr>
          <w:rFonts w:cstheme="minorHAnsi"/>
          <w:vertAlign w:val="subscript"/>
        </w:rPr>
        <w:t>P</w:t>
      </w:r>
      <w:r w:rsidR="0036395F">
        <w:rPr>
          <w:rFonts w:cstheme="minorHAnsi"/>
          <w:vertAlign w:val="superscript"/>
        </w:rPr>
        <w:t>2</w:t>
      </w:r>
      <w:r>
        <w:rPr>
          <w:rFonts w:cstheme="minorHAnsi"/>
        </w:rPr>
        <w:t>)  then  STOP and Evaluate</w:t>
      </w:r>
    </w:p>
    <w:p w:rsidR="00CE55A6" w:rsidRDefault="00CE55A6" w:rsidP="00D44129">
      <w:pPr>
        <w:pStyle w:val="ListParagraph"/>
        <w:numPr>
          <w:ilvl w:val="1"/>
          <w:numId w:val="5"/>
        </w:numPr>
      </w:pPr>
      <w:r>
        <w:t>Construct the confidence interval.</w:t>
      </w:r>
    </w:p>
    <w:p w:rsidR="00CE55A6" w:rsidRPr="00CE55A6" w:rsidRDefault="00CE55A6" w:rsidP="00CE55A6">
      <w:pPr>
        <w:ind w:left="1440"/>
      </w:pPr>
      <w:proofErr w:type="spellStart"/>
      <w:proofErr w:type="gramStart"/>
      <w:r>
        <w:t>T</w:t>
      </w:r>
      <w:r>
        <w:rPr>
          <w:vertAlign w:val="subscript"/>
        </w:rPr>
        <w:t>n</w:t>
      </w:r>
      <w:proofErr w:type="spellEnd"/>
      <w:proofErr w:type="gramEnd"/>
      <w:r>
        <w:t xml:space="preserve"> </w:t>
      </w:r>
      <w:r>
        <w:rPr>
          <w:rFonts w:cstheme="minorHAnsi"/>
        </w:rPr>
        <w:t>±</w:t>
      </w:r>
      <w:r>
        <w:t xml:space="preserve"> </w:t>
      </w:r>
      <w:r w:rsidR="00D07D81">
        <w:t>D</w:t>
      </w:r>
      <w:r>
        <w:t>.</w:t>
      </w:r>
    </w:p>
    <w:p w:rsidR="00D44129" w:rsidRPr="009F12F9" w:rsidRDefault="00D44129" w:rsidP="00D44129">
      <w:pPr>
        <w:pStyle w:val="ListParagraph"/>
        <w:numPr>
          <w:ilvl w:val="1"/>
          <w:numId w:val="5"/>
        </w:numPr>
      </w:pPr>
      <w:r>
        <w:rPr>
          <w:rFonts w:cstheme="minorHAnsi"/>
        </w:rPr>
        <w:t xml:space="preserve">Evaluate: </w:t>
      </w:r>
    </w:p>
    <w:p w:rsidR="00D44129" w:rsidRDefault="00D44129" w:rsidP="00D44129">
      <w:pPr>
        <w:pStyle w:val="ListParagraph"/>
        <w:ind w:left="1440"/>
        <w:rPr>
          <w:rFonts w:cstheme="minorHAnsi"/>
        </w:rPr>
      </w:pPr>
    </w:p>
    <w:p w:rsidR="00D44129" w:rsidRDefault="00D44129" w:rsidP="00D44129">
      <w:pPr>
        <w:pStyle w:val="ListParagraph"/>
        <w:ind w:left="1440"/>
        <w:rPr>
          <w:rFonts w:cstheme="minorHAnsi"/>
        </w:rPr>
      </w:pPr>
      <w:r>
        <w:rPr>
          <w:rFonts w:cstheme="minorHAnsi"/>
        </w:rPr>
        <w:t xml:space="preserve">If </w:t>
      </w:r>
      <w:r w:rsidR="00970F97">
        <w:rPr>
          <w:rFonts w:cstheme="minorHAnsi"/>
        </w:rPr>
        <w:t xml:space="preserve">the confidence interval includes zero </w:t>
      </w:r>
      <w:r>
        <w:rPr>
          <w:rFonts w:cstheme="minorHAnsi"/>
        </w:rPr>
        <w:t>then accept H</w:t>
      </w:r>
      <w:r>
        <w:rPr>
          <w:rFonts w:cstheme="minorHAnsi"/>
          <w:vertAlign w:val="subscript"/>
        </w:rPr>
        <w:t>0</w:t>
      </w:r>
      <w:r>
        <w:rPr>
          <w:rFonts w:cstheme="minorHAnsi"/>
        </w:rPr>
        <w:t>,</w:t>
      </w:r>
    </w:p>
    <w:p w:rsidR="00D44129" w:rsidRPr="00AF4EE7" w:rsidRDefault="00970F97" w:rsidP="00D44129">
      <w:pPr>
        <w:pStyle w:val="ListParagraph"/>
        <w:ind w:left="1440"/>
        <w:rPr>
          <w:rFonts w:cstheme="minorHAnsi"/>
        </w:rPr>
      </w:pPr>
      <w:r>
        <w:rPr>
          <w:rFonts w:cstheme="minorHAnsi"/>
        </w:rPr>
        <w:t xml:space="preserve">Otherwise </w:t>
      </w:r>
      <w:r w:rsidR="00D44129">
        <w:rPr>
          <w:rFonts w:cstheme="minorHAnsi"/>
        </w:rPr>
        <w:t>reject H</w:t>
      </w:r>
      <w:r w:rsidR="00D44129">
        <w:rPr>
          <w:rFonts w:cstheme="minorHAnsi"/>
          <w:vertAlign w:val="subscript"/>
        </w:rPr>
        <w:t>0</w:t>
      </w:r>
      <w:r w:rsidR="00D44129">
        <w:rPr>
          <w:rFonts w:cstheme="minorHAnsi"/>
        </w:rPr>
        <w:t>.</w:t>
      </w:r>
    </w:p>
    <w:p w:rsidR="00D44129" w:rsidRPr="001345AB" w:rsidRDefault="00D44129" w:rsidP="00D44129">
      <w:pPr>
        <w:pStyle w:val="ListParagraph"/>
        <w:ind w:left="1440"/>
      </w:pPr>
    </w:p>
    <w:p w:rsidR="00D44129" w:rsidRPr="001345AB" w:rsidRDefault="00D44129" w:rsidP="00D44129">
      <w:pPr>
        <w:pStyle w:val="ListParagraph"/>
        <w:numPr>
          <w:ilvl w:val="0"/>
          <w:numId w:val="5"/>
        </w:numPr>
      </w:pPr>
      <w:r>
        <w:rPr>
          <w:rFonts w:cstheme="minorHAnsi"/>
        </w:rPr>
        <w:t>Otherwise, take one more sample and return to step 2.</w:t>
      </w:r>
    </w:p>
    <w:p w:rsidR="00D44129" w:rsidRDefault="00D44129" w:rsidP="00D44129">
      <w:pPr>
        <w:pStyle w:val="Heading2"/>
      </w:pPr>
      <w:r>
        <w:t>Spreadsheet Use</w:t>
      </w:r>
    </w:p>
    <w:p w:rsidR="00D44129" w:rsidRDefault="00D44129" w:rsidP="00D44129">
      <w:r>
        <w:t xml:space="preserve">Enter the data from the project inventory and parameters in the orange cells in the upper </w:t>
      </w:r>
      <w:r w:rsidR="00C52FE2">
        <w:t>left</w:t>
      </w:r>
      <w:r>
        <w:t xml:space="preserve"> of the worksheet. Then enter only the validation plot data in the orange cells, as the data is collected. There is a figure to the right that shows how the </w:t>
      </w:r>
      <w:r w:rsidR="009D0B2E">
        <w:t>fixed confidence interval</w:t>
      </w:r>
      <w:r>
        <w:t xml:space="preserve"> looks relative to the </w:t>
      </w:r>
      <w:r w:rsidR="009D0B2E">
        <w:t>null hypothesis</w:t>
      </w:r>
      <w:r>
        <w:t xml:space="preserve"> threshold</w:t>
      </w:r>
      <w:r w:rsidR="009D0B2E">
        <w:t xml:space="preserve"> (zero)</w:t>
      </w:r>
      <w:r>
        <w:t>. The “Condition” column will tell you whether to sample another plot or if the stopping condition is met. If the stopping condition is met then it will also tell you the results of the test.</w:t>
      </w:r>
    </w:p>
    <w:p w:rsidR="00822A0F" w:rsidRDefault="00E1542F" w:rsidP="00487EA1">
      <w:pPr>
        <w:pStyle w:val="Heading1"/>
      </w:pPr>
      <w:r>
        <w:t>References</w:t>
      </w:r>
    </w:p>
    <w:p w:rsidR="00E73D16" w:rsidRPr="00E73D16" w:rsidRDefault="00EC0B43" w:rsidP="00E73D16">
      <w:pPr>
        <w:spacing w:after="0" w:line="240" w:lineRule="auto"/>
        <w:rPr>
          <w:rFonts w:ascii="Times New Roman" w:hAnsi="Times New Roman" w:cs="Times New Roman"/>
          <w:noProof/>
        </w:rPr>
      </w:pPr>
      <w:r>
        <w:fldChar w:fldCharType="begin"/>
      </w:r>
      <w:r w:rsidR="00C5190C">
        <w:instrText xml:space="preserve"> ADDIN EN.REFLIST </w:instrText>
      </w:r>
      <w:r>
        <w:fldChar w:fldCharType="separate"/>
      </w:r>
      <w:bookmarkStart w:id="1" w:name="_ENREF_1"/>
      <w:r w:rsidR="00E73D16" w:rsidRPr="00E73D16">
        <w:rPr>
          <w:rFonts w:ascii="Times New Roman" w:hAnsi="Times New Roman" w:cs="Times New Roman"/>
          <w:noProof/>
        </w:rPr>
        <w:t>Fairweather, S.E. 1985. Sequential sampling for assessment of stocking adequacy. Northern Journal of Applied Forestry 2:5-8.</w:t>
      </w:r>
      <w:bookmarkEnd w:id="1"/>
    </w:p>
    <w:p w:rsidR="00E73D16" w:rsidRPr="00E73D16" w:rsidRDefault="00E73D16" w:rsidP="00E73D16">
      <w:pPr>
        <w:spacing w:after="0" w:line="240" w:lineRule="auto"/>
        <w:rPr>
          <w:rFonts w:ascii="Times New Roman" w:hAnsi="Times New Roman" w:cs="Times New Roman"/>
          <w:noProof/>
        </w:rPr>
      </w:pPr>
      <w:bookmarkStart w:id="2" w:name="_ENREF_2"/>
      <w:r w:rsidRPr="00E73D16">
        <w:rPr>
          <w:rFonts w:ascii="Times New Roman" w:hAnsi="Times New Roman" w:cs="Times New Roman"/>
          <w:noProof/>
        </w:rPr>
        <w:t>Roesch, F.A. 1993. Adaptive cluster sampling for forest inventories. Forest Science 39(4):655-669.</w:t>
      </w:r>
      <w:bookmarkEnd w:id="2"/>
    </w:p>
    <w:p w:rsidR="00E73D16" w:rsidRPr="00E73D16" w:rsidRDefault="00E73D16" w:rsidP="00E73D16">
      <w:pPr>
        <w:spacing w:line="240" w:lineRule="auto"/>
        <w:rPr>
          <w:rFonts w:ascii="Times New Roman" w:hAnsi="Times New Roman" w:cs="Times New Roman"/>
          <w:noProof/>
        </w:rPr>
      </w:pPr>
      <w:bookmarkStart w:id="3" w:name="_ENREF_3"/>
      <w:r w:rsidRPr="00E73D16">
        <w:rPr>
          <w:rFonts w:ascii="Times New Roman" w:hAnsi="Times New Roman" w:cs="Times New Roman"/>
          <w:noProof/>
        </w:rPr>
        <w:t>Thompson, S.K. 2002. Sampling. John Wiley and Sons, New York.</w:t>
      </w:r>
      <w:bookmarkEnd w:id="3"/>
    </w:p>
    <w:p w:rsidR="00E73D16" w:rsidRDefault="00E73D16" w:rsidP="00E73D16">
      <w:pPr>
        <w:spacing w:line="240" w:lineRule="auto"/>
        <w:rPr>
          <w:rFonts w:ascii="Times New Roman" w:hAnsi="Times New Roman" w:cs="Times New Roman"/>
          <w:noProof/>
        </w:rPr>
      </w:pPr>
    </w:p>
    <w:p w:rsidR="001345AB" w:rsidRPr="00404735" w:rsidRDefault="00EC0B43" w:rsidP="001345AB">
      <w:r>
        <w:fldChar w:fldCharType="end"/>
      </w:r>
    </w:p>
    <w:sectPr w:rsidR="001345AB" w:rsidRPr="00404735" w:rsidSect="0009679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C7" w:rsidRDefault="005155C7" w:rsidP="00520617">
      <w:pPr>
        <w:spacing w:after="0" w:line="240" w:lineRule="auto"/>
      </w:pPr>
      <w:r>
        <w:separator/>
      </w:r>
    </w:p>
  </w:endnote>
  <w:endnote w:type="continuationSeparator" w:id="0">
    <w:p w:rsidR="005155C7" w:rsidRDefault="005155C7" w:rsidP="0052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99655"/>
      <w:docPartObj>
        <w:docPartGallery w:val="Page Numbers (Bottom of Page)"/>
        <w:docPartUnique/>
      </w:docPartObj>
    </w:sdtPr>
    <w:sdtEndPr>
      <w:rPr>
        <w:noProof/>
      </w:rPr>
    </w:sdtEndPr>
    <w:sdtContent>
      <w:p w:rsidR="00520617" w:rsidRDefault="00EC0B43">
        <w:pPr>
          <w:pStyle w:val="Footer"/>
          <w:jc w:val="right"/>
        </w:pPr>
        <w:r>
          <w:fldChar w:fldCharType="begin"/>
        </w:r>
        <w:r w:rsidR="00520617">
          <w:instrText xml:space="preserve"> PAGE   \* MERGEFORMAT </w:instrText>
        </w:r>
        <w:r>
          <w:fldChar w:fldCharType="separate"/>
        </w:r>
        <w:r w:rsidR="006E572C">
          <w:rPr>
            <w:noProof/>
          </w:rPr>
          <w:t>1</w:t>
        </w:r>
        <w:r>
          <w:rPr>
            <w:noProof/>
          </w:rPr>
          <w:fldChar w:fldCharType="end"/>
        </w:r>
      </w:p>
    </w:sdtContent>
  </w:sdt>
  <w:p w:rsidR="00520617" w:rsidRDefault="00520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C7" w:rsidRDefault="005155C7" w:rsidP="00520617">
      <w:pPr>
        <w:spacing w:after="0" w:line="240" w:lineRule="auto"/>
      </w:pPr>
      <w:r>
        <w:separator/>
      </w:r>
    </w:p>
  </w:footnote>
  <w:footnote w:type="continuationSeparator" w:id="0">
    <w:p w:rsidR="005155C7" w:rsidRDefault="005155C7" w:rsidP="00520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0E0"/>
    <w:multiLevelType w:val="hybridMultilevel"/>
    <w:tmpl w:val="2086F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0359A"/>
    <w:multiLevelType w:val="hybridMultilevel"/>
    <w:tmpl w:val="1688B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202E9"/>
    <w:multiLevelType w:val="hybridMultilevel"/>
    <w:tmpl w:val="1688B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01794"/>
    <w:multiLevelType w:val="hybridMultilevel"/>
    <w:tmpl w:val="1688B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37462"/>
    <w:multiLevelType w:val="hybridMultilevel"/>
    <w:tmpl w:val="1688B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Forest 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ztfsr5teazsberwv55vz25v0v5fvzdr0pf&quot;&gt;Robards Master 2010&lt;record-ids&gt;&lt;item&gt;701&lt;/item&gt;&lt;item&gt;702&lt;/item&gt;&lt;item&gt;703&lt;/item&gt;&lt;/record-ids&gt;&lt;/item&gt;&lt;/Libraries&gt;"/>
  </w:docVars>
  <w:rsids>
    <w:rsidRoot w:val="0025600F"/>
    <w:rsid w:val="000026C7"/>
    <w:rsid w:val="000061A7"/>
    <w:rsid w:val="00006913"/>
    <w:rsid w:val="00017261"/>
    <w:rsid w:val="00023BB3"/>
    <w:rsid w:val="00075EDC"/>
    <w:rsid w:val="00092E8A"/>
    <w:rsid w:val="00096791"/>
    <w:rsid w:val="000A3EC2"/>
    <w:rsid w:val="000B252C"/>
    <w:rsid w:val="000C1EEA"/>
    <w:rsid w:val="000D02B7"/>
    <w:rsid w:val="000D375D"/>
    <w:rsid w:val="000F7883"/>
    <w:rsid w:val="00124132"/>
    <w:rsid w:val="001310E8"/>
    <w:rsid w:val="001345AB"/>
    <w:rsid w:val="00150648"/>
    <w:rsid w:val="00191087"/>
    <w:rsid w:val="001A3D1B"/>
    <w:rsid w:val="00203F84"/>
    <w:rsid w:val="0020789A"/>
    <w:rsid w:val="00232EFE"/>
    <w:rsid w:val="0025600F"/>
    <w:rsid w:val="0026168B"/>
    <w:rsid w:val="00265E4D"/>
    <w:rsid w:val="002A2104"/>
    <w:rsid w:val="002C1778"/>
    <w:rsid w:val="002C1FD6"/>
    <w:rsid w:val="002C5DF9"/>
    <w:rsid w:val="002E79A1"/>
    <w:rsid w:val="00325E26"/>
    <w:rsid w:val="003269B6"/>
    <w:rsid w:val="00345DE5"/>
    <w:rsid w:val="0035107D"/>
    <w:rsid w:val="0036395F"/>
    <w:rsid w:val="00367A49"/>
    <w:rsid w:val="003C2609"/>
    <w:rsid w:val="003C4897"/>
    <w:rsid w:val="003D6F85"/>
    <w:rsid w:val="003E6DB8"/>
    <w:rsid w:val="003F46AC"/>
    <w:rsid w:val="00404735"/>
    <w:rsid w:val="0042155A"/>
    <w:rsid w:val="004241C7"/>
    <w:rsid w:val="004557C1"/>
    <w:rsid w:val="00463028"/>
    <w:rsid w:val="00487EA1"/>
    <w:rsid w:val="004C750D"/>
    <w:rsid w:val="004D5104"/>
    <w:rsid w:val="004E1DB5"/>
    <w:rsid w:val="004E4ABF"/>
    <w:rsid w:val="004F6753"/>
    <w:rsid w:val="005155C7"/>
    <w:rsid w:val="00520617"/>
    <w:rsid w:val="005273C0"/>
    <w:rsid w:val="00541E82"/>
    <w:rsid w:val="005774CC"/>
    <w:rsid w:val="00596CD3"/>
    <w:rsid w:val="005C0907"/>
    <w:rsid w:val="005E2C2E"/>
    <w:rsid w:val="006064C9"/>
    <w:rsid w:val="006154E9"/>
    <w:rsid w:val="006606C7"/>
    <w:rsid w:val="00681336"/>
    <w:rsid w:val="006B4D06"/>
    <w:rsid w:val="006B7BFF"/>
    <w:rsid w:val="006C30FF"/>
    <w:rsid w:val="006E572C"/>
    <w:rsid w:val="007107A9"/>
    <w:rsid w:val="00711C05"/>
    <w:rsid w:val="00713368"/>
    <w:rsid w:val="0071385D"/>
    <w:rsid w:val="00737BE4"/>
    <w:rsid w:val="007457FF"/>
    <w:rsid w:val="007469EC"/>
    <w:rsid w:val="00785842"/>
    <w:rsid w:val="007A047D"/>
    <w:rsid w:val="007D0121"/>
    <w:rsid w:val="007F251C"/>
    <w:rsid w:val="00814845"/>
    <w:rsid w:val="00822A0F"/>
    <w:rsid w:val="00830C13"/>
    <w:rsid w:val="00891AAF"/>
    <w:rsid w:val="008A4118"/>
    <w:rsid w:val="008B702E"/>
    <w:rsid w:val="008C268C"/>
    <w:rsid w:val="008D0666"/>
    <w:rsid w:val="008D506A"/>
    <w:rsid w:val="00903585"/>
    <w:rsid w:val="009253BF"/>
    <w:rsid w:val="00932578"/>
    <w:rsid w:val="00936D58"/>
    <w:rsid w:val="00970F97"/>
    <w:rsid w:val="00975900"/>
    <w:rsid w:val="00984C0E"/>
    <w:rsid w:val="009B3518"/>
    <w:rsid w:val="009D0B2E"/>
    <w:rsid w:val="009D6C4D"/>
    <w:rsid w:val="009F12F9"/>
    <w:rsid w:val="009F2F0D"/>
    <w:rsid w:val="00A474D7"/>
    <w:rsid w:val="00A7131F"/>
    <w:rsid w:val="00A77E73"/>
    <w:rsid w:val="00A959C0"/>
    <w:rsid w:val="00AC45D8"/>
    <w:rsid w:val="00AE54D0"/>
    <w:rsid w:val="00AF4EE7"/>
    <w:rsid w:val="00AF505D"/>
    <w:rsid w:val="00B03889"/>
    <w:rsid w:val="00B66442"/>
    <w:rsid w:val="00B70855"/>
    <w:rsid w:val="00B87362"/>
    <w:rsid w:val="00BB5DDE"/>
    <w:rsid w:val="00BD385A"/>
    <w:rsid w:val="00BE6E2C"/>
    <w:rsid w:val="00BF42DF"/>
    <w:rsid w:val="00BF68DB"/>
    <w:rsid w:val="00C23985"/>
    <w:rsid w:val="00C450F3"/>
    <w:rsid w:val="00C46387"/>
    <w:rsid w:val="00C5190C"/>
    <w:rsid w:val="00C52FE2"/>
    <w:rsid w:val="00C73CD4"/>
    <w:rsid w:val="00C8227A"/>
    <w:rsid w:val="00CA7E02"/>
    <w:rsid w:val="00CD2D0E"/>
    <w:rsid w:val="00CE55A6"/>
    <w:rsid w:val="00CF2A97"/>
    <w:rsid w:val="00D07D81"/>
    <w:rsid w:val="00D3206D"/>
    <w:rsid w:val="00D369AE"/>
    <w:rsid w:val="00D44129"/>
    <w:rsid w:val="00D93BA4"/>
    <w:rsid w:val="00DB6F96"/>
    <w:rsid w:val="00DD1408"/>
    <w:rsid w:val="00E030E6"/>
    <w:rsid w:val="00E04C9B"/>
    <w:rsid w:val="00E04F2F"/>
    <w:rsid w:val="00E1542F"/>
    <w:rsid w:val="00E20F19"/>
    <w:rsid w:val="00E73D16"/>
    <w:rsid w:val="00E747A3"/>
    <w:rsid w:val="00E75885"/>
    <w:rsid w:val="00E84D39"/>
    <w:rsid w:val="00E85F7D"/>
    <w:rsid w:val="00E94822"/>
    <w:rsid w:val="00EA03D8"/>
    <w:rsid w:val="00EC0B43"/>
    <w:rsid w:val="00EC2959"/>
    <w:rsid w:val="00EC3AC9"/>
    <w:rsid w:val="00EF237B"/>
    <w:rsid w:val="00F27A88"/>
    <w:rsid w:val="00F35722"/>
    <w:rsid w:val="00F41DBA"/>
    <w:rsid w:val="00F6640C"/>
    <w:rsid w:val="00F96329"/>
    <w:rsid w:val="00FA0C1D"/>
    <w:rsid w:val="00FB47CF"/>
    <w:rsid w:val="00FB5A91"/>
    <w:rsid w:val="00FD1EE0"/>
    <w:rsid w:val="00FE3E59"/>
    <w:rsid w:val="00FE7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91"/>
  </w:style>
  <w:style w:type="paragraph" w:styleId="Heading1">
    <w:name w:val="heading 1"/>
    <w:basedOn w:val="Normal"/>
    <w:next w:val="Normal"/>
    <w:link w:val="Heading1Char"/>
    <w:uiPriority w:val="9"/>
    <w:qFormat/>
    <w:rsid w:val="00713368"/>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064C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6064C9"/>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600F"/>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25600F"/>
    <w:rPr>
      <w:rFonts w:asciiTheme="majorHAnsi" w:eastAsiaTheme="majorEastAsia" w:hAnsiTheme="majorHAnsi" w:cstheme="majorBidi"/>
      <w:color w:val="234170" w:themeColor="text2" w:themeShade="BF"/>
      <w:spacing w:val="5"/>
      <w:kern w:val="28"/>
      <w:sz w:val="52"/>
      <w:szCs w:val="52"/>
    </w:rPr>
  </w:style>
  <w:style w:type="paragraph" w:styleId="Subtitle">
    <w:name w:val="Subtitle"/>
    <w:basedOn w:val="Normal"/>
    <w:next w:val="Normal"/>
    <w:link w:val="SubtitleChar"/>
    <w:uiPriority w:val="11"/>
    <w:qFormat/>
    <w:rsid w:val="000F7883"/>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uiPriority w:val="11"/>
    <w:rsid w:val="000F7883"/>
    <w:rPr>
      <w:rFonts w:asciiTheme="majorHAnsi" w:eastAsiaTheme="majorEastAsia" w:hAnsiTheme="majorHAnsi" w:cstheme="majorBidi"/>
      <w:i/>
      <w:iCs/>
      <w:color w:val="6076B4" w:themeColor="accent1"/>
      <w:spacing w:val="15"/>
      <w:sz w:val="24"/>
      <w:szCs w:val="24"/>
    </w:rPr>
  </w:style>
  <w:style w:type="paragraph" w:styleId="ListParagraph">
    <w:name w:val="List Paragraph"/>
    <w:basedOn w:val="Normal"/>
    <w:uiPriority w:val="34"/>
    <w:qFormat/>
    <w:rsid w:val="004E4ABF"/>
    <w:pPr>
      <w:ind w:left="720"/>
      <w:contextualSpacing/>
    </w:pPr>
  </w:style>
  <w:style w:type="table" w:styleId="TableGrid">
    <w:name w:val="Table Grid"/>
    <w:basedOn w:val="TableNormal"/>
    <w:uiPriority w:val="59"/>
    <w:rsid w:val="004E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E54D0"/>
    <w:pPr>
      <w:spacing w:line="240" w:lineRule="auto"/>
    </w:pPr>
    <w:rPr>
      <w:b/>
      <w:bCs/>
      <w:color w:val="6076B4" w:themeColor="accent1"/>
      <w:sz w:val="18"/>
      <w:szCs w:val="18"/>
    </w:rPr>
  </w:style>
  <w:style w:type="character" w:customStyle="1" w:styleId="Heading1Char">
    <w:name w:val="Heading 1 Char"/>
    <w:basedOn w:val="DefaultParagraphFont"/>
    <w:link w:val="Heading1"/>
    <w:uiPriority w:val="9"/>
    <w:rsid w:val="00713368"/>
    <w:rPr>
      <w:rFonts w:asciiTheme="majorHAnsi" w:eastAsiaTheme="majorEastAsia" w:hAnsiTheme="majorHAnsi" w:cstheme="majorBidi"/>
      <w:b/>
      <w:bCs/>
      <w:color w:val="42558C" w:themeColor="accent1" w:themeShade="BF"/>
      <w:sz w:val="28"/>
      <w:szCs w:val="28"/>
    </w:rPr>
  </w:style>
  <w:style w:type="character" w:styleId="IntenseReference">
    <w:name w:val="Intense Reference"/>
    <w:basedOn w:val="DefaultParagraphFont"/>
    <w:uiPriority w:val="32"/>
    <w:qFormat/>
    <w:rsid w:val="00D93BA4"/>
    <w:rPr>
      <w:b/>
      <w:bCs/>
      <w:smallCaps/>
      <w:color w:val="9C5252" w:themeColor="accent2"/>
      <w:spacing w:val="5"/>
      <w:u w:val="single"/>
    </w:rPr>
  </w:style>
  <w:style w:type="paragraph" w:styleId="NoSpacing">
    <w:name w:val="No Spacing"/>
    <w:uiPriority w:val="1"/>
    <w:qFormat/>
    <w:rsid w:val="00D93BA4"/>
    <w:pPr>
      <w:spacing w:after="0" w:line="240" w:lineRule="auto"/>
    </w:pPr>
  </w:style>
  <w:style w:type="character" w:styleId="Emphasis">
    <w:name w:val="Emphasis"/>
    <w:basedOn w:val="DefaultParagraphFont"/>
    <w:uiPriority w:val="20"/>
    <w:qFormat/>
    <w:rsid w:val="00D93BA4"/>
    <w:rPr>
      <w:i/>
      <w:iCs/>
    </w:rPr>
  </w:style>
  <w:style w:type="character" w:styleId="SubtleEmphasis">
    <w:name w:val="Subtle Emphasis"/>
    <w:basedOn w:val="DefaultParagraphFont"/>
    <w:uiPriority w:val="19"/>
    <w:qFormat/>
    <w:rsid w:val="00D93BA4"/>
    <w:rPr>
      <w:i/>
      <w:iCs/>
      <w:color w:val="808080" w:themeColor="text1" w:themeTint="7F"/>
    </w:rPr>
  </w:style>
  <w:style w:type="character" w:customStyle="1" w:styleId="Heading2Char">
    <w:name w:val="Heading 2 Char"/>
    <w:basedOn w:val="DefaultParagraphFont"/>
    <w:link w:val="Heading2"/>
    <w:uiPriority w:val="9"/>
    <w:rsid w:val="006064C9"/>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uiPriority w:val="9"/>
    <w:rsid w:val="006064C9"/>
    <w:rPr>
      <w:rFonts w:asciiTheme="majorHAnsi" w:eastAsiaTheme="majorEastAsia" w:hAnsiTheme="majorHAnsi" w:cstheme="majorBidi"/>
      <w:b/>
      <w:bCs/>
      <w:color w:val="6076B4" w:themeColor="accent1"/>
    </w:rPr>
  </w:style>
  <w:style w:type="character" w:styleId="PlaceholderText">
    <w:name w:val="Placeholder Text"/>
    <w:basedOn w:val="DefaultParagraphFont"/>
    <w:uiPriority w:val="99"/>
    <w:semiHidden/>
    <w:rsid w:val="00785842"/>
    <w:rPr>
      <w:color w:val="808080"/>
    </w:rPr>
  </w:style>
  <w:style w:type="paragraph" w:styleId="BalloonText">
    <w:name w:val="Balloon Text"/>
    <w:basedOn w:val="Normal"/>
    <w:link w:val="BalloonTextChar"/>
    <w:uiPriority w:val="99"/>
    <w:semiHidden/>
    <w:unhideWhenUsed/>
    <w:rsid w:val="0078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42"/>
    <w:rPr>
      <w:rFonts w:ascii="Tahoma" w:hAnsi="Tahoma" w:cs="Tahoma"/>
      <w:sz w:val="16"/>
      <w:szCs w:val="16"/>
    </w:rPr>
  </w:style>
  <w:style w:type="paragraph" w:styleId="Header">
    <w:name w:val="header"/>
    <w:basedOn w:val="Normal"/>
    <w:link w:val="HeaderChar"/>
    <w:uiPriority w:val="99"/>
    <w:unhideWhenUsed/>
    <w:rsid w:val="00520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17"/>
  </w:style>
  <w:style w:type="paragraph" w:styleId="Footer">
    <w:name w:val="footer"/>
    <w:basedOn w:val="Normal"/>
    <w:link w:val="FooterChar"/>
    <w:uiPriority w:val="99"/>
    <w:unhideWhenUsed/>
    <w:rsid w:val="00520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17"/>
  </w:style>
  <w:style w:type="character" w:styleId="Hyperlink">
    <w:name w:val="Hyperlink"/>
    <w:basedOn w:val="DefaultParagraphFont"/>
    <w:uiPriority w:val="99"/>
    <w:unhideWhenUsed/>
    <w:rsid w:val="00C5190C"/>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368"/>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064C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6064C9"/>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600F"/>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25600F"/>
    <w:rPr>
      <w:rFonts w:asciiTheme="majorHAnsi" w:eastAsiaTheme="majorEastAsia" w:hAnsiTheme="majorHAnsi" w:cstheme="majorBidi"/>
      <w:color w:val="234170" w:themeColor="text2" w:themeShade="BF"/>
      <w:spacing w:val="5"/>
      <w:kern w:val="28"/>
      <w:sz w:val="52"/>
      <w:szCs w:val="52"/>
    </w:rPr>
  </w:style>
  <w:style w:type="paragraph" w:styleId="Subtitle">
    <w:name w:val="Subtitle"/>
    <w:basedOn w:val="Normal"/>
    <w:next w:val="Normal"/>
    <w:link w:val="SubtitleChar"/>
    <w:uiPriority w:val="11"/>
    <w:qFormat/>
    <w:rsid w:val="000F7883"/>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uiPriority w:val="11"/>
    <w:rsid w:val="000F7883"/>
    <w:rPr>
      <w:rFonts w:asciiTheme="majorHAnsi" w:eastAsiaTheme="majorEastAsia" w:hAnsiTheme="majorHAnsi" w:cstheme="majorBidi"/>
      <w:i/>
      <w:iCs/>
      <w:color w:val="6076B4" w:themeColor="accent1"/>
      <w:spacing w:val="15"/>
      <w:sz w:val="24"/>
      <w:szCs w:val="24"/>
    </w:rPr>
  </w:style>
  <w:style w:type="paragraph" w:styleId="ListParagraph">
    <w:name w:val="List Paragraph"/>
    <w:basedOn w:val="Normal"/>
    <w:uiPriority w:val="34"/>
    <w:qFormat/>
    <w:rsid w:val="004E4ABF"/>
    <w:pPr>
      <w:ind w:left="720"/>
      <w:contextualSpacing/>
    </w:pPr>
  </w:style>
  <w:style w:type="table" w:styleId="TableGrid">
    <w:name w:val="Table Grid"/>
    <w:basedOn w:val="TableNormal"/>
    <w:uiPriority w:val="59"/>
    <w:rsid w:val="004E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E54D0"/>
    <w:pPr>
      <w:spacing w:line="240" w:lineRule="auto"/>
    </w:pPr>
    <w:rPr>
      <w:b/>
      <w:bCs/>
      <w:color w:val="6076B4" w:themeColor="accent1"/>
      <w:sz w:val="18"/>
      <w:szCs w:val="18"/>
    </w:rPr>
  </w:style>
  <w:style w:type="character" w:customStyle="1" w:styleId="Heading1Char">
    <w:name w:val="Heading 1 Char"/>
    <w:basedOn w:val="DefaultParagraphFont"/>
    <w:link w:val="Heading1"/>
    <w:uiPriority w:val="9"/>
    <w:rsid w:val="00713368"/>
    <w:rPr>
      <w:rFonts w:asciiTheme="majorHAnsi" w:eastAsiaTheme="majorEastAsia" w:hAnsiTheme="majorHAnsi" w:cstheme="majorBidi"/>
      <w:b/>
      <w:bCs/>
      <w:color w:val="42558C" w:themeColor="accent1" w:themeShade="BF"/>
      <w:sz w:val="28"/>
      <w:szCs w:val="28"/>
    </w:rPr>
  </w:style>
  <w:style w:type="character" w:styleId="IntenseReference">
    <w:name w:val="Intense Reference"/>
    <w:basedOn w:val="DefaultParagraphFont"/>
    <w:uiPriority w:val="32"/>
    <w:qFormat/>
    <w:rsid w:val="00D93BA4"/>
    <w:rPr>
      <w:b/>
      <w:bCs/>
      <w:smallCaps/>
      <w:color w:val="9C5252" w:themeColor="accent2"/>
      <w:spacing w:val="5"/>
      <w:u w:val="single"/>
    </w:rPr>
  </w:style>
  <w:style w:type="paragraph" w:styleId="NoSpacing">
    <w:name w:val="No Spacing"/>
    <w:uiPriority w:val="1"/>
    <w:qFormat/>
    <w:rsid w:val="00D93BA4"/>
    <w:pPr>
      <w:spacing w:after="0" w:line="240" w:lineRule="auto"/>
    </w:pPr>
  </w:style>
  <w:style w:type="character" w:styleId="Emphasis">
    <w:name w:val="Emphasis"/>
    <w:basedOn w:val="DefaultParagraphFont"/>
    <w:uiPriority w:val="20"/>
    <w:qFormat/>
    <w:rsid w:val="00D93BA4"/>
    <w:rPr>
      <w:i/>
      <w:iCs/>
    </w:rPr>
  </w:style>
  <w:style w:type="character" w:styleId="SubtleEmphasis">
    <w:name w:val="Subtle Emphasis"/>
    <w:basedOn w:val="DefaultParagraphFont"/>
    <w:uiPriority w:val="19"/>
    <w:qFormat/>
    <w:rsid w:val="00D93BA4"/>
    <w:rPr>
      <w:i/>
      <w:iCs/>
      <w:color w:val="808080" w:themeColor="text1" w:themeTint="7F"/>
    </w:rPr>
  </w:style>
  <w:style w:type="character" w:customStyle="1" w:styleId="Heading2Char">
    <w:name w:val="Heading 2 Char"/>
    <w:basedOn w:val="DefaultParagraphFont"/>
    <w:link w:val="Heading2"/>
    <w:uiPriority w:val="9"/>
    <w:rsid w:val="006064C9"/>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uiPriority w:val="9"/>
    <w:rsid w:val="006064C9"/>
    <w:rPr>
      <w:rFonts w:asciiTheme="majorHAnsi" w:eastAsiaTheme="majorEastAsia" w:hAnsiTheme="majorHAnsi" w:cstheme="majorBidi"/>
      <w:b/>
      <w:bCs/>
      <w:color w:val="6076B4" w:themeColor="accent1"/>
    </w:rPr>
  </w:style>
  <w:style w:type="character" w:styleId="PlaceholderText">
    <w:name w:val="Placeholder Text"/>
    <w:basedOn w:val="DefaultParagraphFont"/>
    <w:uiPriority w:val="99"/>
    <w:semiHidden/>
    <w:rsid w:val="00785842"/>
    <w:rPr>
      <w:color w:val="808080"/>
    </w:rPr>
  </w:style>
  <w:style w:type="paragraph" w:styleId="BalloonText">
    <w:name w:val="Balloon Text"/>
    <w:basedOn w:val="Normal"/>
    <w:link w:val="BalloonTextChar"/>
    <w:uiPriority w:val="99"/>
    <w:semiHidden/>
    <w:unhideWhenUsed/>
    <w:rsid w:val="0078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42"/>
    <w:rPr>
      <w:rFonts w:ascii="Tahoma" w:hAnsi="Tahoma" w:cs="Tahoma"/>
      <w:sz w:val="16"/>
      <w:szCs w:val="16"/>
    </w:rPr>
  </w:style>
  <w:style w:type="paragraph" w:styleId="Header">
    <w:name w:val="header"/>
    <w:basedOn w:val="Normal"/>
    <w:link w:val="HeaderChar"/>
    <w:uiPriority w:val="99"/>
    <w:unhideWhenUsed/>
    <w:rsid w:val="00520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17"/>
  </w:style>
  <w:style w:type="paragraph" w:styleId="Footer">
    <w:name w:val="footer"/>
    <w:basedOn w:val="Normal"/>
    <w:link w:val="FooterChar"/>
    <w:uiPriority w:val="99"/>
    <w:unhideWhenUsed/>
    <w:rsid w:val="00520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Spatial  Informatics Group, LLC</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Robards</dc:creator>
  <cp:lastModifiedBy>acraig</cp:lastModifiedBy>
  <cp:revision>2</cp:revision>
  <cp:lastPrinted>2011-05-09T02:25:00Z</cp:lastPrinted>
  <dcterms:created xsi:type="dcterms:W3CDTF">2012-08-27T20:50:00Z</dcterms:created>
  <dcterms:modified xsi:type="dcterms:W3CDTF">2012-08-27T20:50:00Z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