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85" w:rsidRDefault="006D2C8D">
      <w:r>
        <w:t>CCBA</w:t>
      </w:r>
    </w:p>
    <w:tbl>
      <w:tblPr>
        <w:tblStyle w:val="TableGrid"/>
        <w:tblpPr w:leftFromText="180" w:rightFromText="180" w:vertAnchor="text" w:tblpY="1"/>
        <w:tblOverlap w:val="never"/>
        <w:tblW w:w="10620" w:type="dxa"/>
        <w:tblInd w:w="198" w:type="dxa"/>
        <w:tblLook w:val="04A0"/>
      </w:tblPr>
      <w:tblGrid>
        <w:gridCol w:w="540"/>
        <w:gridCol w:w="990"/>
        <w:gridCol w:w="2160"/>
        <w:gridCol w:w="3150"/>
        <w:gridCol w:w="3780"/>
      </w:tblGrid>
      <w:tr w:rsidR="007F5FB6" w:rsidTr="002448C2">
        <w:tc>
          <w:tcPr>
            <w:tcW w:w="10620" w:type="dxa"/>
            <w:gridSpan w:val="5"/>
            <w:shd w:val="clear" w:color="auto" w:fill="000000" w:themeFill="text1"/>
          </w:tcPr>
          <w:p w:rsidR="007F5FB6" w:rsidRPr="007F5FB6" w:rsidRDefault="006D2C8D" w:rsidP="002448C2">
            <w:pPr>
              <w:jc w:val="center"/>
              <w:rPr>
                <w:b/>
              </w:rPr>
            </w:pPr>
            <w:r>
              <w:rPr>
                <w:b/>
              </w:rPr>
              <w:t xml:space="preserve">CCB – </w:t>
            </w:r>
            <w:r w:rsidR="002448C2">
              <w:rPr>
                <w:b/>
              </w:rPr>
              <w:t xml:space="preserve">Principle 1: </w:t>
            </w:r>
            <w:r w:rsidR="002448C2" w:rsidRPr="002448C2">
              <w:t xml:space="preserve"> </w:t>
            </w:r>
            <w:r w:rsidR="002448C2" w:rsidRPr="002448C2">
              <w:rPr>
                <w:b/>
              </w:rPr>
              <w:t>Rights to lands, territories and resources</w:t>
            </w:r>
            <w:r w:rsidR="002448C2">
              <w:rPr>
                <w:b/>
              </w:rPr>
              <w:t xml:space="preserve"> are recognized and respected </w:t>
            </w:r>
            <w:r w:rsidR="002448C2" w:rsidRPr="002448C2">
              <w:rPr>
                <w:b/>
              </w:rPr>
              <w:t>by the REDD+ program</w:t>
            </w:r>
          </w:p>
        </w:tc>
      </w:tr>
      <w:tr w:rsidR="007F5FB6" w:rsidTr="002448C2">
        <w:tc>
          <w:tcPr>
            <w:tcW w:w="540" w:type="dxa"/>
          </w:tcPr>
          <w:p w:rsidR="007F5FB6" w:rsidRDefault="002448C2" w:rsidP="006D2C8D">
            <w:r>
              <w:t>1.1</w:t>
            </w:r>
          </w:p>
        </w:tc>
        <w:tc>
          <w:tcPr>
            <w:tcW w:w="10080" w:type="dxa"/>
            <w:gridSpan w:val="4"/>
          </w:tcPr>
          <w:p w:rsidR="007F5FB6" w:rsidRDefault="002448C2" w:rsidP="002448C2">
            <w:pPr>
              <w:autoSpaceDE w:val="0"/>
              <w:autoSpaceDN w:val="0"/>
              <w:adjustRightInd w:val="0"/>
            </w:pPr>
            <w:r>
              <w:t>The REDD+ program effectively identifies the different rights holders (statutory and customary) and their rights to lands, territories and resources relevant to the program.</w:t>
            </w:r>
          </w:p>
        </w:tc>
      </w:tr>
      <w:tr w:rsidR="002448C2" w:rsidTr="002448C2">
        <w:tc>
          <w:tcPr>
            <w:tcW w:w="540" w:type="dxa"/>
          </w:tcPr>
          <w:p w:rsidR="002448C2" w:rsidRDefault="002448C2" w:rsidP="006D2C8D">
            <w:r>
              <w:t>1.2</w:t>
            </w:r>
          </w:p>
        </w:tc>
        <w:tc>
          <w:tcPr>
            <w:tcW w:w="10080" w:type="dxa"/>
            <w:gridSpan w:val="4"/>
          </w:tcPr>
          <w:p w:rsidR="002448C2"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The REDD+ program recognizes and respects both statutory and customary rights</w:t>
            </w:r>
            <w:r>
              <w:rPr>
                <w:rFonts w:ascii="Arial" w:hAnsi="Arial" w:cs="Arial"/>
                <w:sz w:val="13"/>
                <w:szCs w:val="13"/>
              </w:rPr>
              <w:t xml:space="preserve"> </w:t>
            </w:r>
            <w:r>
              <w:rPr>
                <w:rFonts w:ascii="Arial" w:hAnsi="Arial" w:cs="Arial"/>
                <w:sz w:val="21"/>
                <w:szCs w:val="21"/>
              </w:rPr>
              <w:t>to lands, territories and resources which Indigenous Peoples or local communities have traditionally owned, occupied or otherwise used or acquired.</w:t>
            </w:r>
          </w:p>
        </w:tc>
      </w:tr>
      <w:tr w:rsidR="002448C2" w:rsidTr="002448C2">
        <w:trPr>
          <w:trHeight w:val="70"/>
        </w:trPr>
        <w:tc>
          <w:tcPr>
            <w:tcW w:w="540" w:type="dxa"/>
          </w:tcPr>
          <w:p w:rsidR="002448C2" w:rsidRDefault="002448C2" w:rsidP="006D2C8D">
            <w:r>
              <w:t>1.3</w:t>
            </w:r>
          </w:p>
        </w:tc>
        <w:tc>
          <w:tcPr>
            <w:tcW w:w="10080" w:type="dxa"/>
            <w:gridSpan w:val="4"/>
          </w:tcPr>
          <w:p w:rsidR="002448C2"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The REDD+ program requires the free, prior and informed consent of Indigenous Peoples and local communities for any activities affecting their rights to lands, territories and resources.</w:t>
            </w:r>
          </w:p>
        </w:tc>
      </w:tr>
      <w:tr w:rsidR="002448C2" w:rsidTr="002448C2">
        <w:tc>
          <w:tcPr>
            <w:tcW w:w="540" w:type="dxa"/>
          </w:tcPr>
          <w:p w:rsidR="002448C2" w:rsidRDefault="002448C2" w:rsidP="006D2C8D">
            <w:r>
              <w:rPr>
                <w:rFonts w:ascii="Arial" w:hAnsi="Arial" w:cs="Arial"/>
                <w:sz w:val="21"/>
                <w:szCs w:val="21"/>
              </w:rPr>
              <w:t>1.4</w:t>
            </w:r>
          </w:p>
        </w:tc>
        <w:tc>
          <w:tcPr>
            <w:tcW w:w="10080" w:type="dxa"/>
            <w:gridSpan w:val="4"/>
          </w:tcPr>
          <w:p w:rsidR="002448C2"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The REDD+ program identifies and uses a process for effective resolution of any disputes over rights to lands, territories and resources related to the program and does not proceed with any activity that could prejudice the outcome of the dispute resolution process.</w:t>
            </w:r>
          </w:p>
        </w:tc>
      </w:tr>
      <w:tr w:rsidR="002448C2" w:rsidTr="002448C2">
        <w:tc>
          <w:tcPr>
            <w:tcW w:w="540" w:type="dxa"/>
          </w:tcPr>
          <w:p w:rsidR="002448C2" w:rsidRDefault="002448C2" w:rsidP="006D2C8D">
            <w:r>
              <w:t>1.5</w:t>
            </w:r>
          </w:p>
        </w:tc>
        <w:tc>
          <w:tcPr>
            <w:tcW w:w="10080" w:type="dxa"/>
            <w:gridSpan w:val="4"/>
          </w:tcPr>
          <w:p w:rsidR="002448C2" w:rsidRDefault="002448C2" w:rsidP="002448C2">
            <w:pPr>
              <w:autoSpaceDE w:val="0"/>
              <w:autoSpaceDN w:val="0"/>
              <w:adjustRightInd w:val="0"/>
              <w:rPr>
                <w:rFonts w:ascii="Arial" w:hAnsi="Arial" w:cs="Arial"/>
                <w:sz w:val="21"/>
                <w:szCs w:val="21"/>
              </w:rPr>
            </w:pPr>
            <w:r>
              <w:rPr>
                <w:rFonts w:ascii="Arial" w:hAnsi="Arial" w:cs="Arial"/>
                <w:sz w:val="21"/>
                <w:szCs w:val="21"/>
              </w:rPr>
              <w:t>Where the REDD+ program enables private ownership</w:t>
            </w:r>
            <w:r>
              <w:rPr>
                <w:rFonts w:ascii="Arial" w:hAnsi="Arial" w:cs="Arial"/>
                <w:sz w:val="13"/>
                <w:szCs w:val="13"/>
              </w:rPr>
              <w:t xml:space="preserve">16 </w:t>
            </w:r>
            <w:r>
              <w:rPr>
                <w:rFonts w:ascii="Arial" w:hAnsi="Arial" w:cs="Arial"/>
                <w:sz w:val="21"/>
                <w:szCs w:val="21"/>
              </w:rPr>
              <w:t>of carbon rights, these rights are</w:t>
            </w:r>
          </w:p>
          <w:p w:rsidR="002448C2" w:rsidRDefault="002448C2" w:rsidP="002448C2">
            <w:pPr>
              <w:autoSpaceDE w:val="0"/>
              <w:autoSpaceDN w:val="0"/>
              <w:adjustRightInd w:val="0"/>
              <w:rPr>
                <w:rFonts w:ascii="Arial" w:hAnsi="Arial" w:cs="Arial"/>
                <w:sz w:val="21"/>
                <w:szCs w:val="21"/>
              </w:rPr>
            </w:pPr>
            <w:r>
              <w:rPr>
                <w:rFonts w:ascii="Arial" w:hAnsi="Arial" w:cs="Arial"/>
                <w:sz w:val="21"/>
                <w:szCs w:val="21"/>
              </w:rPr>
              <w:t>based on the statutory and customary rights to the lands, territories and resources</w:t>
            </w:r>
            <w:r>
              <w:rPr>
                <w:rFonts w:ascii="Arial" w:hAnsi="Arial" w:cs="Arial"/>
                <w:sz w:val="13"/>
                <w:szCs w:val="13"/>
              </w:rPr>
              <w:t xml:space="preserve">18 </w:t>
            </w:r>
            <w:r>
              <w:rPr>
                <w:rFonts w:ascii="Arial" w:hAnsi="Arial" w:cs="Arial"/>
                <w:sz w:val="21"/>
                <w:szCs w:val="21"/>
              </w:rPr>
              <w:t>that</w:t>
            </w:r>
          </w:p>
          <w:p w:rsidR="002448C2" w:rsidRPr="002448C2" w:rsidRDefault="002448C2" w:rsidP="002448C2">
            <w:pPr>
              <w:autoSpaceDE w:val="0"/>
              <w:autoSpaceDN w:val="0"/>
              <w:adjustRightInd w:val="0"/>
              <w:rPr>
                <w:rFonts w:ascii="Arial" w:hAnsi="Arial" w:cs="Arial"/>
                <w:sz w:val="21"/>
                <w:szCs w:val="21"/>
              </w:rPr>
            </w:pPr>
            <w:proofErr w:type="gramStart"/>
            <w:r>
              <w:rPr>
                <w:rFonts w:ascii="Arial" w:hAnsi="Arial" w:cs="Arial"/>
                <w:sz w:val="21"/>
                <w:szCs w:val="21"/>
              </w:rPr>
              <w:t>generated</w:t>
            </w:r>
            <w:proofErr w:type="gramEnd"/>
            <w:r>
              <w:rPr>
                <w:rFonts w:ascii="Arial" w:hAnsi="Arial" w:cs="Arial"/>
                <w:sz w:val="21"/>
                <w:szCs w:val="21"/>
              </w:rPr>
              <w:t xml:space="preserve"> the greenhouse gas emissions reductions and removals.</w:t>
            </w:r>
          </w:p>
        </w:tc>
      </w:tr>
      <w:tr w:rsidR="007F5FB6" w:rsidTr="002448C2">
        <w:tc>
          <w:tcPr>
            <w:tcW w:w="10620" w:type="dxa"/>
            <w:gridSpan w:val="5"/>
          </w:tcPr>
          <w:p w:rsidR="007F5FB6" w:rsidRPr="007F5FB6" w:rsidRDefault="007F5FB6" w:rsidP="006D2C8D">
            <w:pPr>
              <w:jc w:val="center"/>
              <w:rPr>
                <w:b/>
              </w:rPr>
            </w:pPr>
            <w:r w:rsidRPr="007F5FB6">
              <w:rPr>
                <w:b/>
              </w:rPr>
              <w:t>Project Indicators to Ensure Compliance to Principle</w:t>
            </w:r>
          </w:p>
        </w:tc>
      </w:tr>
      <w:tr w:rsidR="007F5FB6" w:rsidTr="002448C2">
        <w:tc>
          <w:tcPr>
            <w:tcW w:w="1530" w:type="dxa"/>
            <w:gridSpan w:val="2"/>
          </w:tcPr>
          <w:p w:rsidR="007F5FB6" w:rsidRDefault="007F5FB6" w:rsidP="006D2C8D">
            <w:pPr>
              <w:jc w:val="center"/>
            </w:pPr>
            <w:r>
              <w:t>Theme</w:t>
            </w:r>
          </w:p>
        </w:tc>
        <w:tc>
          <w:tcPr>
            <w:tcW w:w="2160" w:type="dxa"/>
          </w:tcPr>
          <w:p w:rsidR="007F5FB6" w:rsidRDefault="007F5FB6" w:rsidP="006D2C8D">
            <w:pPr>
              <w:jc w:val="center"/>
            </w:pPr>
            <w:r>
              <w:t>Indicator</w:t>
            </w:r>
          </w:p>
        </w:tc>
        <w:tc>
          <w:tcPr>
            <w:tcW w:w="3150" w:type="dxa"/>
          </w:tcPr>
          <w:p w:rsidR="007F5FB6" w:rsidRDefault="007F5FB6" w:rsidP="006D2C8D">
            <w:pPr>
              <w:jc w:val="center"/>
            </w:pPr>
            <w:r>
              <w:t>Reference</w:t>
            </w:r>
          </w:p>
        </w:tc>
        <w:tc>
          <w:tcPr>
            <w:tcW w:w="3780" w:type="dxa"/>
          </w:tcPr>
          <w:p w:rsidR="007F5FB6" w:rsidRDefault="007F5FB6" w:rsidP="006D2C8D">
            <w:pPr>
              <w:jc w:val="center"/>
            </w:pPr>
            <w:r>
              <w:t xml:space="preserve">Requirement for Verification </w:t>
            </w:r>
          </w:p>
        </w:tc>
      </w:tr>
      <w:tr w:rsidR="007F5FB6" w:rsidTr="002448C2">
        <w:tc>
          <w:tcPr>
            <w:tcW w:w="1530" w:type="dxa"/>
            <w:gridSpan w:val="2"/>
          </w:tcPr>
          <w:p w:rsidR="007F5FB6" w:rsidRPr="00312AD2" w:rsidRDefault="007F5FB6" w:rsidP="006D2C8D">
            <w:pPr>
              <w:jc w:val="center"/>
            </w:pPr>
          </w:p>
        </w:tc>
        <w:tc>
          <w:tcPr>
            <w:tcW w:w="2160" w:type="dxa"/>
          </w:tcPr>
          <w:p w:rsidR="007F5FB6" w:rsidRDefault="007F5FB6" w:rsidP="002448C2">
            <w:pPr>
              <w:autoSpaceDE w:val="0"/>
              <w:autoSpaceDN w:val="0"/>
              <w:adjustRightInd w:val="0"/>
            </w:pPr>
          </w:p>
        </w:tc>
        <w:tc>
          <w:tcPr>
            <w:tcW w:w="3150" w:type="dxa"/>
          </w:tcPr>
          <w:p w:rsidR="00EA7B7F" w:rsidRDefault="00EA7B7F" w:rsidP="006D2C8D">
            <w:pPr>
              <w:autoSpaceDE w:val="0"/>
              <w:autoSpaceDN w:val="0"/>
              <w:adjustRightInd w:val="0"/>
            </w:pPr>
          </w:p>
        </w:tc>
        <w:tc>
          <w:tcPr>
            <w:tcW w:w="3780" w:type="dxa"/>
          </w:tcPr>
          <w:p w:rsidR="00EA7B7F" w:rsidRDefault="00EA7B7F" w:rsidP="006D2C8D">
            <w:pPr>
              <w:pStyle w:val="ListParagraph"/>
              <w:numPr>
                <w:ilvl w:val="0"/>
                <w:numId w:val="1"/>
              </w:numPr>
              <w:autoSpaceDE w:val="0"/>
              <w:autoSpaceDN w:val="0"/>
              <w:adjustRightInd w:val="0"/>
              <w:ind w:left="162" w:hanging="180"/>
            </w:pPr>
          </w:p>
        </w:tc>
      </w:tr>
      <w:tr w:rsidR="007F5FB6" w:rsidTr="002448C2">
        <w:tc>
          <w:tcPr>
            <w:tcW w:w="1530" w:type="dxa"/>
            <w:gridSpan w:val="2"/>
          </w:tcPr>
          <w:p w:rsidR="007F5FB6" w:rsidRDefault="007F5FB6" w:rsidP="006D2C8D"/>
        </w:tc>
        <w:tc>
          <w:tcPr>
            <w:tcW w:w="2160" w:type="dxa"/>
          </w:tcPr>
          <w:p w:rsidR="007F5FB6" w:rsidRDefault="007F5FB6" w:rsidP="002448C2"/>
        </w:tc>
        <w:tc>
          <w:tcPr>
            <w:tcW w:w="3150" w:type="dxa"/>
          </w:tcPr>
          <w:p w:rsidR="000D59DD" w:rsidRDefault="000D59DD" w:rsidP="006D2C8D"/>
        </w:tc>
        <w:tc>
          <w:tcPr>
            <w:tcW w:w="3780" w:type="dxa"/>
          </w:tcPr>
          <w:p w:rsidR="007F5FB6" w:rsidRDefault="007F5FB6" w:rsidP="006D2C8D">
            <w:pPr>
              <w:pStyle w:val="ListParagraph"/>
              <w:numPr>
                <w:ilvl w:val="0"/>
                <w:numId w:val="1"/>
              </w:numPr>
              <w:autoSpaceDE w:val="0"/>
              <w:autoSpaceDN w:val="0"/>
              <w:adjustRightInd w:val="0"/>
              <w:ind w:left="162" w:hanging="162"/>
            </w:pPr>
          </w:p>
        </w:tc>
      </w:tr>
      <w:tr w:rsidR="006D2C8D" w:rsidTr="002448C2">
        <w:tc>
          <w:tcPr>
            <w:tcW w:w="1530" w:type="dxa"/>
            <w:gridSpan w:val="2"/>
          </w:tcPr>
          <w:p w:rsidR="006D2C8D" w:rsidRDefault="006D2C8D" w:rsidP="006D2C8D"/>
        </w:tc>
        <w:tc>
          <w:tcPr>
            <w:tcW w:w="2160" w:type="dxa"/>
          </w:tcPr>
          <w:p w:rsidR="006D2C8D" w:rsidRDefault="006D2C8D" w:rsidP="002448C2"/>
        </w:tc>
        <w:tc>
          <w:tcPr>
            <w:tcW w:w="3150" w:type="dxa"/>
          </w:tcPr>
          <w:p w:rsidR="006D2C8D" w:rsidRDefault="006D2C8D" w:rsidP="006D2C8D"/>
        </w:tc>
        <w:tc>
          <w:tcPr>
            <w:tcW w:w="3780" w:type="dxa"/>
          </w:tcPr>
          <w:p w:rsidR="006D2C8D" w:rsidRDefault="006D2C8D" w:rsidP="006D2C8D">
            <w:pPr>
              <w:pStyle w:val="ListParagraph"/>
              <w:numPr>
                <w:ilvl w:val="0"/>
                <w:numId w:val="1"/>
              </w:numPr>
              <w:autoSpaceDE w:val="0"/>
              <w:autoSpaceDN w:val="0"/>
              <w:adjustRightInd w:val="0"/>
              <w:ind w:left="162" w:hanging="162"/>
            </w:pPr>
          </w:p>
        </w:tc>
      </w:tr>
      <w:tr w:rsidR="006D2C8D" w:rsidTr="002448C2">
        <w:tc>
          <w:tcPr>
            <w:tcW w:w="1530" w:type="dxa"/>
            <w:gridSpan w:val="2"/>
          </w:tcPr>
          <w:p w:rsidR="006D2C8D" w:rsidRDefault="006D2C8D" w:rsidP="006D2C8D"/>
        </w:tc>
        <w:tc>
          <w:tcPr>
            <w:tcW w:w="2160" w:type="dxa"/>
          </w:tcPr>
          <w:p w:rsidR="006D2C8D" w:rsidRPr="006D2C8D" w:rsidRDefault="006D2C8D" w:rsidP="006D2C8D"/>
        </w:tc>
        <w:tc>
          <w:tcPr>
            <w:tcW w:w="3150" w:type="dxa"/>
          </w:tcPr>
          <w:p w:rsidR="006D2C8D" w:rsidRPr="006D2C8D" w:rsidRDefault="006D2C8D" w:rsidP="006D2C8D"/>
        </w:tc>
        <w:tc>
          <w:tcPr>
            <w:tcW w:w="3780" w:type="dxa"/>
          </w:tcPr>
          <w:p w:rsidR="006D2C8D" w:rsidRDefault="006D2C8D" w:rsidP="006D2C8D">
            <w:pPr>
              <w:pStyle w:val="ListParagraph"/>
              <w:numPr>
                <w:ilvl w:val="0"/>
                <w:numId w:val="1"/>
              </w:numPr>
              <w:autoSpaceDE w:val="0"/>
              <w:autoSpaceDN w:val="0"/>
              <w:adjustRightInd w:val="0"/>
              <w:ind w:left="162" w:hanging="162"/>
            </w:pPr>
          </w:p>
        </w:tc>
      </w:tr>
      <w:tr w:rsidR="006D2C8D" w:rsidTr="002448C2">
        <w:tc>
          <w:tcPr>
            <w:tcW w:w="1530" w:type="dxa"/>
            <w:gridSpan w:val="2"/>
          </w:tcPr>
          <w:p w:rsidR="006D2C8D" w:rsidRDefault="006D2C8D" w:rsidP="006D2C8D"/>
        </w:tc>
        <w:tc>
          <w:tcPr>
            <w:tcW w:w="2160" w:type="dxa"/>
          </w:tcPr>
          <w:p w:rsidR="006D2C8D" w:rsidRPr="006D2C8D" w:rsidRDefault="006D2C8D" w:rsidP="006D2C8D"/>
        </w:tc>
        <w:tc>
          <w:tcPr>
            <w:tcW w:w="3150" w:type="dxa"/>
          </w:tcPr>
          <w:p w:rsidR="006D2C8D" w:rsidRPr="006D2C8D" w:rsidRDefault="006D2C8D" w:rsidP="006D2C8D">
            <w:pPr>
              <w:autoSpaceDE w:val="0"/>
              <w:autoSpaceDN w:val="0"/>
              <w:adjustRightInd w:val="0"/>
            </w:pPr>
          </w:p>
        </w:tc>
        <w:tc>
          <w:tcPr>
            <w:tcW w:w="3780" w:type="dxa"/>
          </w:tcPr>
          <w:p w:rsidR="006D2C8D" w:rsidRDefault="006D2C8D" w:rsidP="006D2C8D">
            <w:pPr>
              <w:pStyle w:val="ListParagraph"/>
              <w:numPr>
                <w:ilvl w:val="0"/>
                <w:numId w:val="1"/>
              </w:numPr>
              <w:autoSpaceDE w:val="0"/>
              <w:autoSpaceDN w:val="0"/>
              <w:adjustRightInd w:val="0"/>
              <w:ind w:left="162" w:hanging="162"/>
            </w:pPr>
          </w:p>
        </w:tc>
      </w:tr>
      <w:tr w:rsidR="006D2C8D" w:rsidTr="002448C2">
        <w:tc>
          <w:tcPr>
            <w:tcW w:w="1530" w:type="dxa"/>
            <w:gridSpan w:val="2"/>
          </w:tcPr>
          <w:p w:rsidR="006D2C8D" w:rsidRDefault="006D2C8D" w:rsidP="006D2C8D"/>
        </w:tc>
        <w:tc>
          <w:tcPr>
            <w:tcW w:w="2160" w:type="dxa"/>
          </w:tcPr>
          <w:p w:rsidR="006D2C8D" w:rsidRPr="006D2C8D" w:rsidRDefault="006D2C8D" w:rsidP="006D2C8D"/>
        </w:tc>
        <w:tc>
          <w:tcPr>
            <w:tcW w:w="3150" w:type="dxa"/>
          </w:tcPr>
          <w:p w:rsidR="006D2C8D" w:rsidRDefault="006D2C8D" w:rsidP="006D2C8D">
            <w:pPr>
              <w:pStyle w:val="ListParagraph"/>
              <w:numPr>
                <w:ilvl w:val="0"/>
                <w:numId w:val="1"/>
              </w:numPr>
              <w:autoSpaceDE w:val="0"/>
              <w:autoSpaceDN w:val="0"/>
              <w:adjustRightInd w:val="0"/>
              <w:ind w:left="162" w:hanging="180"/>
            </w:pPr>
          </w:p>
        </w:tc>
        <w:tc>
          <w:tcPr>
            <w:tcW w:w="3780" w:type="dxa"/>
          </w:tcPr>
          <w:p w:rsidR="006D2C8D" w:rsidRDefault="006D2C8D" w:rsidP="006D2C8D">
            <w:pPr>
              <w:pStyle w:val="ListParagraph"/>
              <w:numPr>
                <w:ilvl w:val="0"/>
                <w:numId w:val="1"/>
              </w:numPr>
              <w:autoSpaceDE w:val="0"/>
              <w:autoSpaceDN w:val="0"/>
              <w:adjustRightInd w:val="0"/>
              <w:ind w:left="162" w:hanging="162"/>
            </w:pPr>
          </w:p>
        </w:tc>
      </w:tr>
    </w:tbl>
    <w:p w:rsidR="005366A6" w:rsidRDefault="006D2C8D">
      <w:r>
        <w:br w:type="textWrapping" w:clear="all"/>
      </w:r>
    </w:p>
    <w:tbl>
      <w:tblPr>
        <w:tblStyle w:val="TableGrid"/>
        <w:tblW w:w="10620" w:type="dxa"/>
        <w:tblInd w:w="352" w:type="dxa"/>
        <w:tblLook w:val="04A0"/>
      </w:tblPr>
      <w:tblGrid>
        <w:gridCol w:w="540"/>
        <w:gridCol w:w="990"/>
        <w:gridCol w:w="2160"/>
        <w:gridCol w:w="3150"/>
        <w:gridCol w:w="3780"/>
      </w:tblGrid>
      <w:tr w:rsidR="00080485" w:rsidRPr="007F5FB6" w:rsidTr="00EE488D">
        <w:tc>
          <w:tcPr>
            <w:tcW w:w="10620" w:type="dxa"/>
            <w:gridSpan w:val="5"/>
            <w:shd w:val="clear" w:color="auto" w:fill="000000" w:themeFill="text1"/>
          </w:tcPr>
          <w:p w:rsidR="00080485" w:rsidRPr="007F5FB6" w:rsidRDefault="006D2C8D" w:rsidP="002448C2">
            <w:pPr>
              <w:tabs>
                <w:tab w:val="left" w:pos="3780"/>
              </w:tabs>
              <w:rPr>
                <w:b/>
              </w:rPr>
            </w:pPr>
            <w:r>
              <w:rPr>
                <w:b/>
              </w:rPr>
              <w:t xml:space="preserve">CCB </w:t>
            </w:r>
            <w:r w:rsidR="00CE4D41">
              <w:rPr>
                <w:b/>
              </w:rPr>
              <w:t>–</w:t>
            </w:r>
            <w:r>
              <w:rPr>
                <w:b/>
              </w:rPr>
              <w:t xml:space="preserve"> </w:t>
            </w:r>
            <w:r w:rsidR="002448C2" w:rsidRPr="002448C2">
              <w:rPr>
                <w:b/>
              </w:rPr>
              <w:t xml:space="preserve">Principle 2: The benefits of the REDD+ program are </w:t>
            </w:r>
            <w:proofErr w:type="gramStart"/>
            <w:r w:rsidR="002448C2" w:rsidRPr="002448C2">
              <w:rPr>
                <w:b/>
              </w:rPr>
              <w:t xml:space="preserve">shared </w:t>
            </w:r>
            <w:r w:rsidR="002448C2">
              <w:rPr>
                <w:b/>
              </w:rPr>
              <w:t xml:space="preserve"> </w:t>
            </w:r>
            <w:proofErr w:type="spellStart"/>
            <w:r w:rsidR="002448C2">
              <w:rPr>
                <w:b/>
              </w:rPr>
              <w:t>quitably</w:t>
            </w:r>
            <w:proofErr w:type="spellEnd"/>
            <w:proofErr w:type="gramEnd"/>
            <w:r w:rsidR="002448C2" w:rsidRPr="002448C2">
              <w:rPr>
                <w:b/>
              </w:rPr>
              <w:t xml:space="preserve"> among all</w:t>
            </w:r>
            <w:r w:rsidR="002448C2">
              <w:rPr>
                <w:b/>
              </w:rPr>
              <w:t xml:space="preserve"> </w:t>
            </w:r>
            <w:r w:rsidR="002448C2" w:rsidRPr="002448C2">
              <w:rPr>
                <w:b/>
              </w:rPr>
              <w:t>relevant20 rights holders and stakeholders.</w:t>
            </w:r>
          </w:p>
        </w:tc>
      </w:tr>
      <w:tr w:rsidR="00080485" w:rsidTr="00EE488D">
        <w:tc>
          <w:tcPr>
            <w:tcW w:w="540" w:type="dxa"/>
          </w:tcPr>
          <w:p w:rsidR="00080485" w:rsidRDefault="002448C2" w:rsidP="005366A6">
            <w:r>
              <w:t>2.1</w:t>
            </w:r>
          </w:p>
        </w:tc>
        <w:tc>
          <w:tcPr>
            <w:tcW w:w="10080" w:type="dxa"/>
            <w:gridSpan w:val="4"/>
          </w:tcPr>
          <w:p w:rsidR="00080485"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The projected costs, potential benefits and associated risks of the REDD+ program are identified for relevant rights holder and stakeholder groups</w:t>
            </w:r>
            <w:r>
              <w:rPr>
                <w:rFonts w:ascii="Arial" w:hAnsi="Arial" w:cs="Arial"/>
                <w:sz w:val="13"/>
                <w:szCs w:val="13"/>
              </w:rPr>
              <w:t xml:space="preserve">23 </w:t>
            </w:r>
            <w:r>
              <w:rPr>
                <w:rFonts w:ascii="Arial" w:hAnsi="Arial" w:cs="Arial"/>
                <w:sz w:val="21"/>
                <w:szCs w:val="21"/>
              </w:rPr>
              <w:t>at all levels</w:t>
            </w:r>
            <w:r>
              <w:rPr>
                <w:rFonts w:ascii="Arial" w:hAnsi="Arial" w:cs="Arial"/>
                <w:sz w:val="13"/>
                <w:szCs w:val="13"/>
              </w:rPr>
              <w:t xml:space="preserve"> </w:t>
            </w:r>
            <w:r>
              <w:rPr>
                <w:rFonts w:ascii="Arial" w:hAnsi="Arial" w:cs="Arial"/>
                <w:sz w:val="21"/>
                <w:szCs w:val="21"/>
              </w:rPr>
              <w:t>using a participatory process.</w:t>
            </w:r>
          </w:p>
        </w:tc>
      </w:tr>
      <w:tr w:rsidR="002448C2" w:rsidTr="00EE488D">
        <w:tc>
          <w:tcPr>
            <w:tcW w:w="540" w:type="dxa"/>
          </w:tcPr>
          <w:p w:rsidR="002448C2" w:rsidRDefault="002448C2" w:rsidP="005366A6">
            <w:r>
              <w:t>2.2</w:t>
            </w:r>
          </w:p>
        </w:tc>
        <w:tc>
          <w:tcPr>
            <w:tcW w:w="10080" w:type="dxa"/>
            <w:gridSpan w:val="4"/>
          </w:tcPr>
          <w:p w:rsidR="002448C2"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Transparent, participatory, effective and efficient</w:t>
            </w:r>
            <w:r>
              <w:rPr>
                <w:rFonts w:ascii="Arial" w:hAnsi="Arial" w:cs="Arial"/>
                <w:sz w:val="13"/>
                <w:szCs w:val="13"/>
              </w:rPr>
              <w:t xml:space="preserve"> </w:t>
            </w:r>
            <w:r>
              <w:rPr>
                <w:rFonts w:ascii="Arial" w:hAnsi="Arial" w:cs="Arial"/>
                <w:sz w:val="21"/>
                <w:szCs w:val="21"/>
              </w:rPr>
              <w:t>mechanisms are established for equitable sharing of benefits of the REDD+ program among and within relevant rights holder and stakeholder groups taking into account costs, benefits and associated risks.</w:t>
            </w:r>
          </w:p>
        </w:tc>
      </w:tr>
      <w:tr w:rsidR="002448C2" w:rsidTr="00EE488D">
        <w:tc>
          <w:tcPr>
            <w:tcW w:w="540" w:type="dxa"/>
          </w:tcPr>
          <w:p w:rsidR="002448C2" w:rsidRDefault="002448C2" w:rsidP="005366A6">
            <w:r>
              <w:t>2.3</w:t>
            </w:r>
          </w:p>
        </w:tc>
        <w:tc>
          <w:tcPr>
            <w:tcW w:w="10080" w:type="dxa"/>
            <w:gridSpan w:val="4"/>
          </w:tcPr>
          <w:p w:rsidR="002448C2" w:rsidRPr="002448C2" w:rsidRDefault="002448C2" w:rsidP="002448C2">
            <w:pPr>
              <w:autoSpaceDE w:val="0"/>
              <w:autoSpaceDN w:val="0"/>
              <w:adjustRightInd w:val="0"/>
              <w:rPr>
                <w:rFonts w:ascii="Arial" w:hAnsi="Arial" w:cs="Arial"/>
                <w:sz w:val="21"/>
                <w:szCs w:val="21"/>
              </w:rPr>
            </w:pPr>
            <w:r>
              <w:rPr>
                <w:rFonts w:ascii="Arial" w:hAnsi="Arial" w:cs="Arial"/>
                <w:sz w:val="21"/>
                <w:szCs w:val="21"/>
              </w:rPr>
              <w:t>There is transparent and participatory monitoring of the costs and benefits of the REDD+ program, including any revenues, and their distribution among relevant rights holders and stakeholders.</w:t>
            </w:r>
          </w:p>
        </w:tc>
      </w:tr>
      <w:tr w:rsidR="002448C2" w:rsidRPr="007F5FB6" w:rsidTr="00EE488D">
        <w:tc>
          <w:tcPr>
            <w:tcW w:w="10620" w:type="dxa"/>
            <w:gridSpan w:val="5"/>
          </w:tcPr>
          <w:p w:rsidR="002448C2" w:rsidRPr="007F5FB6" w:rsidRDefault="002448C2" w:rsidP="002448C2">
            <w:pPr>
              <w:jc w:val="center"/>
              <w:rPr>
                <w:b/>
              </w:rPr>
            </w:pPr>
            <w:r w:rsidRPr="007F5FB6">
              <w:rPr>
                <w:b/>
              </w:rPr>
              <w:t>Project Indicators to Ensure Compliance to Principle</w:t>
            </w:r>
          </w:p>
        </w:tc>
      </w:tr>
      <w:tr w:rsidR="002448C2" w:rsidTr="00EE488D">
        <w:tc>
          <w:tcPr>
            <w:tcW w:w="1530" w:type="dxa"/>
            <w:gridSpan w:val="2"/>
          </w:tcPr>
          <w:p w:rsidR="002448C2" w:rsidRDefault="002448C2" w:rsidP="002448C2">
            <w:pPr>
              <w:jc w:val="center"/>
            </w:pPr>
            <w:r>
              <w:t>Theme</w:t>
            </w:r>
          </w:p>
        </w:tc>
        <w:tc>
          <w:tcPr>
            <w:tcW w:w="2160" w:type="dxa"/>
          </w:tcPr>
          <w:p w:rsidR="002448C2" w:rsidRDefault="002448C2" w:rsidP="002448C2">
            <w:pPr>
              <w:jc w:val="center"/>
            </w:pPr>
            <w:r>
              <w:t>Indicator</w:t>
            </w:r>
          </w:p>
        </w:tc>
        <w:tc>
          <w:tcPr>
            <w:tcW w:w="3150" w:type="dxa"/>
          </w:tcPr>
          <w:p w:rsidR="002448C2" w:rsidRDefault="002448C2" w:rsidP="002448C2">
            <w:pPr>
              <w:jc w:val="center"/>
            </w:pPr>
            <w:r>
              <w:t>Reference</w:t>
            </w:r>
          </w:p>
        </w:tc>
        <w:tc>
          <w:tcPr>
            <w:tcW w:w="3780" w:type="dxa"/>
          </w:tcPr>
          <w:p w:rsidR="002448C2" w:rsidRDefault="002448C2" w:rsidP="002448C2">
            <w:pPr>
              <w:jc w:val="center"/>
            </w:pPr>
            <w:r>
              <w:t xml:space="preserve">Requirement for Verification </w:t>
            </w:r>
          </w:p>
        </w:tc>
      </w:tr>
      <w:tr w:rsidR="002448C2" w:rsidTr="00EE488D">
        <w:tc>
          <w:tcPr>
            <w:tcW w:w="1530" w:type="dxa"/>
            <w:gridSpan w:val="2"/>
          </w:tcPr>
          <w:p w:rsidR="002448C2" w:rsidRDefault="002448C2" w:rsidP="002448C2"/>
        </w:tc>
        <w:tc>
          <w:tcPr>
            <w:tcW w:w="2160" w:type="dxa"/>
          </w:tcPr>
          <w:p w:rsidR="002448C2" w:rsidRDefault="002448C2" w:rsidP="002448C2"/>
        </w:tc>
        <w:tc>
          <w:tcPr>
            <w:tcW w:w="3150" w:type="dxa"/>
          </w:tcPr>
          <w:p w:rsidR="002448C2" w:rsidRDefault="002448C2" w:rsidP="002448C2">
            <w:pPr>
              <w:pStyle w:val="ListParagraph"/>
              <w:numPr>
                <w:ilvl w:val="0"/>
                <w:numId w:val="1"/>
              </w:numPr>
              <w:ind w:left="198" w:hanging="180"/>
            </w:pPr>
          </w:p>
        </w:tc>
        <w:tc>
          <w:tcPr>
            <w:tcW w:w="3780" w:type="dxa"/>
          </w:tcPr>
          <w:p w:rsidR="002448C2" w:rsidRDefault="002448C2" w:rsidP="002448C2">
            <w:pPr>
              <w:pStyle w:val="ListParagraph"/>
              <w:numPr>
                <w:ilvl w:val="0"/>
                <w:numId w:val="1"/>
              </w:numPr>
              <w:autoSpaceDE w:val="0"/>
              <w:autoSpaceDN w:val="0"/>
              <w:adjustRightInd w:val="0"/>
              <w:ind w:left="162" w:hanging="162"/>
            </w:pPr>
          </w:p>
        </w:tc>
      </w:tr>
      <w:tr w:rsidR="002448C2" w:rsidTr="00EE488D">
        <w:tc>
          <w:tcPr>
            <w:tcW w:w="1530" w:type="dxa"/>
            <w:gridSpan w:val="2"/>
          </w:tcPr>
          <w:p w:rsidR="002448C2" w:rsidRDefault="002448C2" w:rsidP="002448C2"/>
        </w:tc>
        <w:tc>
          <w:tcPr>
            <w:tcW w:w="2160" w:type="dxa"/>
          </w:tcPr>
          <w:p w:rsidR="002448C2" w:rsidRDefault="002448C2" w:rsidP="002448C2"/>
        </w:tc>
        <w:tc>
          <w:tcPr>
            <w:tcW w:w="3150" w:type="dxa"/>
          </w:tcPr>
          <w:p w:rsidR="002448C2" w:rsidRDefault="002448C2" w:rsidP="002448C2">
            <w:pPr>
              <w:pStyle w:val="ListParagraph"/>
              <w:numPr>
                <w:ilvl w:val="0"/>
                <w:numId w:val="1"/>
              </w:numPr>
              <w:ind w:left="162" w:hanging="180"/>
            </w:pPr>
          </w:p>
        </w:tc>
        <w:tc>
          <w:tcPr>
            <w:tcW w:w="3780" w:type="dxa"/>
          </w:tcPr>
          <w:p w:rsidR="002448C2" w:rsidRDefault="002448C2" w:rsidP="002448C2">
            <w:pPr>
              <w:pStyle w:val="ListParagraph"/>
              <w:numPr>
                <w:ilvl w:val="0"/>
                <w:numId w:val="1"/>
              </w:numPr>
              <w:autoSpaceDE w:val="0"/>
              <w:autoSpaceDN w:val="0"/>
              <w:adjustRightInd w:val="0"/>
              <w:ind w:left="162" w:hanging="162"/>
            </w:pPr>
          </w:p>
        </w:tc>
      </w:tr>
      <w:tr w:rsidR="002448C2" w:rsidTr="00EE488D">
        <w:tc>
          <w:tcPr>
            <w:tcW w:w="1530" w:type="dxa"/>
            <w:gridSpan w:val="2"/>
          </w:tcPr>
          <w:p w:rsidR="002448C2" w:rsidRDefault="002448C2" w:rsidP="002448C2"/>
        </w:tc>
        <w:tc>
          <w:tcPr>
            <w:tcW w:w="2160" w:type="dxa"/>
          </w:tcPr>
          <w:p w:rsidR="002448C2" w:rsidRDefault="002448C2" w:rsidP="002448C2"/>
        </w:tc>
        <w:tc>
          <w:tcPr>
            <w:tcW w:w="3150" w:type="dxa"/>
          </w:tcPr>
          <w:p w:rsidR="002448C2" w:rsidRDefault="002448C2" w:rsidP="002448C2">
            <w:pPr>
              <w:autoSpaceDE w:val="0"/>
              <w:autoSpaceDN w:val="0"/>
              <w:adjustRightInd w:val="0"/>
            </w:pPr>
          </w:p>
        </w:tc>
        <w:tc>
          <w:tcPr>
            <w:tcW w:w="3780" w:type="dxa"/>
          </w:tcPr>
          <w:p w:rsidR="002448C2" w:rsidRDefault="002448C2" w:rsidP="002448C2">
            <w:pPr>
              <w:pStyle w:val="ListParagraph"/>
              <w:numPr>
                <w:ilvl w:val="0"/>
                <w:numId w:val="1"/>
              </w:numPr>
              <w:autoSpaceDE w:val="0"/>
              <w:autoSpaceDN w:val="0"/>
              <w:adjustRightInd w:val="0"/>
              <w:ind w:left="162" w:hanging="162"/>
            </w:pPr>
          </w:p>
        </w:tc>
      </w:tr>
    </w:tbl>
    <w:p w:rsidR="005366A6" w:rsidRDefault="005366A6"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7F5FB6" w:rsidRDefault="00EE488D" w:rsidP="00EE488D">
            <w:pPr>
              <w:tabs>
                <w:tab w:val="left" w:pos="3780"/>
              </w:tabs>
              <w:rPr>
                <w:b/>
              </w:rPr>
            </w:pPr>
            <w:r>
              <w:rPr>
                <w:b/>
              </w:rPr>
              <w:t xml:space="preserve">CCB – </w:t>
            </w:r>
            <w:r w:rsidRPr="002448C2">
              <w:rPr>
                <w:b/>
              </w:rPr>
              <w:t xml:space="preserve">Principle </w:t>
            </w:r>
            <w:r>
              <w:rPr>
                <w:b/>
              </w:rPr>
              <w:t>3</w:t>
            </w:r>
            <w:r w:rsidRPr="002448C2">
              <w:rPr>
                <w:b/>
              </w:rPr>
              <w:t xml:space="preserve">: </w:t>
            </w:r>
            <w:r w:rsidRPr="00EE488D">
              <w:rPr>
                <w:b/>
              </w:rPr>
              <w:t>The REDD+ program improves long-term livelihood security and well-being of Indigenous Peoples and local communities with special attention to the most vulnerable people.</w:t>
            </w:r>
          </w:p>
        </w:tc>
      </w:tr>
      <w:tr w:rsidR="00EE488D" w:rsidRPr="002448C2" w:rsidTr="00EE488D">
        <w:tc>
          <w:tcPr>
            <w:tcW w:w="540" w:type="dxa"/>
          </w:tcPr>
          <w:p w:rsidR="00EE488D" w:rsidRDefault="00EE488D" w:rsidP="00D57FBF">
            <w:r>
              <w:t>3.1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 xml:space="preserve">The REDD+ program is generating additional, positive impacts on the long-term livelihood security and well-being of Indigenous Peoples and local communities, with special </w:t>
            </w:r>
            <w:proofErr w:type="spellStart"/>
            <w:r w:rsidRPr="00810D39">
              <w:rPr>
                <w:rFonts w:ascii="Arial" w:hAnsi="Arial" w:cs="Arial"/>
                <w:sz w:val="20"/>
                <w:szCs w:val="20"/>
              </w:rPr>
              <w:t>attentionto</w:t>
            </w:r>
            <w:proofErr w:type="spellEnd"/>
            <w:r w:rsidRPr="00810D39">
              <w:rPr>
                <w:rFonts w:ascii="Arial" w:hAnsi="Arial" w:cs="Arial"/>
                <w:sz w:val="20"/>
                <w:szCs w:val="20"/>
              </w:rPr>
              <w:t xml:space="preserve"> the most vulnerable people.</w:t>
            </w:r>
          </w:p>
        </w:tc>
      </w:tr>
      <w:tr w:rsidR="00EE488D" w:rsidRPr="002448C2" w:rsidTr="00EE488D">
        <w:tc>
          <w:tcPr>
            <w:tcW w:w="540" w:type="dxa"/>
          </w:tcPr>
          <w:p w:rsidR="00EE488D" w:rsidRDefault="00EE488D" w:rsidP="00D57FBF">
            <w:r>
              <w:t>3.2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relevant Indigenous Peoples and local communities determine the way in which the REDD+ program improves their long-term livelihood security and well-being through an inclusive and transparent process.</w:t>
            </w:r>
          </w:p>
        </w:tc>
      </w:tr>
      <w:tr w:rsidR="00EE488D" w:rsidRPr="002448C2" w:rsidTr="00EE488D">
        <w:tc>
          <w:tcPr>
            <w:tcW w:w="540" w:type="dxa"/>
          </w:tcPr>
          <w:p w:rsidR="00EE488D" w:rsidRDefault="00EE488D" w:rsidP="00D57FBF">
            <w:r>
              <w:t>3.3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There is participatory assessment of positive and negative social, cultural and economic impacts of the REDD+ program including both predicted and actual impacts.</w:t>
            </w:r>
          </w:p>
        </w:tc>
      </w:tr>
      <w:tr w:rsidR="00EE488D" w:rsidRPr="002448C2" w:rsidTr="00EE488D">
        <w:tc>
          <w:tcPr>
            <w:tcW w:w="540" w:type="dxa"/>
          </w:tcPr>
          <w:p w:rsidR="00EE488D" w:rsidRDefault="00EE488D" w:rsidP="00D57FBF">
            <w:r>
              <w:t>3.4</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is adapted based on predictive and ongoing impact assessment to mitigate negative, and enhance positive, long-term livelihood security and well-being impacts.</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7F5FB6" w:rsidRDefault="00EE488D" w:rsidP="00EE488D">
            <w:pPr>
              <w:tabs>
                <w:tab w:val="left" w:pos="3780"/>
              </w:tabs>
              <w:rPr>
                <w:b/>
              </w:rPr>
            </w:pPr>
            <w:r>
              <w:rPr>
                <w:b/>
              </w:rPr>
              <w:t xml:space="preserve">CCB – </w:t>
            </w:r>
            <w:r w:rsidRPr="002448C2">
              <w:rPr>
                <w:b/>
              </w:rPr>
              <w:t xml:space="preserve">Principle </w:t>
            </w:r>
            <w:r>
              <w:rPr>
                <w:b/>
              </w:rPr>
              <w:t>4:</w:t>
            </w:r>
            <w:r>
              <w:t xml:space="preserve"> </w:t>
            </w:r>
            <w:r w:rsidRPr="00EE488D">
              <w:rPr>
                <w:b/>
              </w:rPr>
              <w:t>The REDD+ program contributes to broader sustainable development and good governance objectives.</w:t>
            </w:r>
          </w:p>
        </w:tc>
      </w:tr>
      <w:tr w:rsidR="00EE488D" w:rsidRPr="00810D39" w:rsidTr="00EE488D">
        <w:tc>
          <w:tcPr>
            <w:tcW w:w="540" w:type="dxa"/>
          </w:tcPr>
          <w:p w:rsidR="00EE488D" w:rsidRDefault="00EE488D" w:rsidP="00D57FBF">
            <w:r>
              <w:t>4</w:t>
            </w:r>
            <w:r>
              <w:t>.1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contributes to achieving the objectives of sustainable development policies, strategies and plans established at national and other relevant levels.</w:t>
            </w:r>
          </w:p>
        </w:tc>
      </w:tr>
      <w:tr w:rsidR="00EE488D" w:rsidRPr="00810D39" w:rsidTr="00EE488D">
        <w:tc>
          <w:tcPr>
            <w:tcW w:w="540" w:type="dxa"/>
          </w:tcPr>
          <w:p w:rsidR="00EE488D" w:rsidRDefault="00EE488D" w:rsidP="00D57FBF">
            <w:r>
              <w:t>4</w:t>
            </w:r>
            <w:r>
              <w:t>.2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leads to improvements in governance of the forest sector and other relevant sectors.</w:t>
            </w:r>
          </w:p>
        </w:tc>
      </w:tr>
      <w:tr w:rsidR="00EE488D" w:rsidRPr="00810D39" w:rsidTr="00EE488D">
        <w:tc>
          <w:tcPr>
            <w:tcW w:w="540" w:type="dxa"/>
          </w:tcPr>
          <w:p w:rsidR="00EE488D" w:rsidRDefault="00EE488D" w:rsidP="00D57FBF">
            <w:r>
              <w:t>4.3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There is strong government commitment to the REDD+ program in their country.</w:t>
            </w:r>
          </w:p>
        </w:tc>
      </w:tr>
      <w:tr w:rsidR="00EE488D" w:rsidRPr="00810D39" w:rsidTr="00EE488D">
        <w:tc>
          <w:tcPr>
            <w:tcW w:w="540" w:type="dxa"/>
          </w:tcPr>
          <w:p w:rsidR="00EE488D" w:rsidRDefault="00EE488D" w:rsidP="00D57FBF">
            <w:r>
              <w:t>4.4</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is coherent with relevant policies, strategies and plans at all relevant levels.</w:t>
            </w:r>
          </w:p>
        </w:tc>
      </w:tr>
      <w:tr w:rsidR="00EE488D" w:rsidRPr="00810D39" w:rsidTr="00EE488D">
        <w:tc>
          <w:tcPr>
            <w:tcW w:w="540" w:type="dxa"/>
          </w:tcPr>
          <w:p w:rsidR="00EE488D" w:rsidRDefault="00EE488D" w:rsidP="00D57FBF">
            <w:r>
              <w:t>4.5</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There is effective coordination between government and other agencies/organizations responsible for the design, implementation and evaluation of the REDD+ program and other relevant government agencies/organizations.</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7F5FB6" w:rsidRDefault="00EE488D" w:rsidP="00D57FBF">
            <w:pPr>
              <w:tabs>
                <w:tab w:val="left" w:pos="3780"/>
              </w:tabs>
              <w:rPr>
                <w:b/>
              </w:rPr>
            </w:pPr>
            <w:r>
              <w:rPr>
                <w:b/>
              </w:rPr>
              <w:t xml:space="preserve">CCB – </w:t>
            </w:r>
            <w:r w:rsidRPr="002448C2">
              <w:rPr>
                <w:b/>
              </w:rPr>
              <w:t xml:space="preserve">Principle </w:t>
            </w:r>
            <w:r>
              <w:rPr>
                <w:b/>
              </w:rPr>
              <w:t>5</w:t>
            </w:r>
            <w:r w:rsidRPr="002448C2">
              <w:rPr>
                <w:b/>
              </w:rPr>
              <w:t xml:space="preserve">: </w:t>
            </w:r>
            <w:r w:rsidRPr="00EE488D">
              <w:rPr>
                <w:b/>
              </w:rPr>
              <w:t>The REDD+ program maintains and enhances biodiversity and ecosystem services.</w:t>
            </w:r>
          </w:p>
        </w:tc>
      </w:tr>
      <w:tr w:rsidR="00EE488D" w:rsidRPr="00810D39" w:rsidTr="00EE488D">
        <w:tc>
          <w:tcPr>
            <w:tcW w:w="540" w:type="dxa"/>
          </w:tcPr>
          <w:p w:rsidR="00EE488D" w:rsidRDefault="00EE488D" w:rsidP="00D57FBF">
            <w:r>
              <w:t>5</w:t>
            </w:r>
            <w:r>
              <w:t>.1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Biodiversity and ecosystem services potentially affected by the REDD+ program are maintained and enhanced.</w:t>
            </w:r>
          </w:p>
        </w:tc>
      </w:tr>
      <w:tr w:rsidR="00EE488D" w:rsidRPr="00810D39" w:rsidTr="00EE488D">
        <w:tc>
          <w:tcPr>
            <w:tcW w:w="540" w:type="dxa"/>
          </w:tcPr>
          <w:p w:rsidR="00EE488D" w:rsidRDefault="00EE488D" w:rsidP="00D57FBF">
            <w:r>
              <w:t>5</w:t>
            </w:r>
            <w:r>
              <w:t>.2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positive and negative environmental impacts of the REDD+ program are assessed including both predicted and actual impacts.</w:t>
            </w:r>
          </w:p>
        </w:tc>
      </w:tr>
      <w:tr w:rsidR="00EE488D" w:rsidRPr="00810D39" w:rsidTr="00EE488D">
        <w:tc>
          <w:tcPr>
            <w:tcW w:w="540" w:type="dxa"/>
          </w:tcPr>
          <w:p w:rsidR="00EE488D" w:rsidRDefault="00EE488D" w:rsidP="00D57FBF">
            <w:r>
              <w:t>5</w:t>
            </w:r>
            <w:r>
              <w:t>.3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design and implementation addresses maintenance and enhancement of biodiversity and ecosystem services building on relevant traditional knowledge and management practices of Indigenous Peoples and local communities and other stakeholders.</w:t>
            </w:r>
          </w:p>
        </w:tc>
      </w:tr>
      <w:tr w:rsidR="00EE488D" w:rsidRPr="00810D39" w:rsidTr="00EE488D">
        <w:tc>
          <w:tcPr>
            <w:tcW w:w="540" w:type="dxa"/>
          </w:tcPr>
          <w:p w:rsidR="00EE488D" w:rsidRDefault="00EE488D" w:rsidP="00D57FBF">
            <w:r>
              <w:t>5</w:t>
            </w:r>
            <w:r>
              <w:t>.4</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is adapted based on predictive and ongoing impact assessment to mitigate negative, and enhance positive, environmental impacts.</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EE488D" w:rsidRDefault="00EE488D" w:rsidP="00EE488D">
            <w:pPr>
              <w:tabs>
                <w:tab w:val="left" w:pos="3780"/>
              </w:tabs>
              <w:rPr>
                <w:b/>
              </w:rPr>
            </w:pPr>
            <w:r>
              <w:rPr>
                <w:b/>
              </w:rPr>
              <w:t xml:space="preserve">CCB – </w:t>
            </w:r>
            <w:r w:rsidRPr="002448C2">
              <w:rPr>
                <w:b/>
              </w:rPr>
              <w:t xml:space="preserve">Principle </w:t>
            </w:r>
            <w:r>
              <w:rPr>
                <w:b/>
              </w:rPr>
              <w:t>6</w:t>
            </w:r>
            <w:r w:rsidRPr="002448C2">
              <w:rPr>
                <w:b/>
              </w:rPr>
              <w:t xml:space="preserve">: </w:t>
            </w:r>
            <w:r w:rsidRPr="00EE488D">
              <w:rPr>
                <w:b/>
              </w:rPr>
              <w:t>All relevant rights holders and stakeholders participate fully and effectively in the</w:t>
            </w:r>
          </w:p>
          <w:p w:rsidR="00EE488D" w:rsidRPr="007F5FB6" w:rsidRDefault="00EE488D" w:rsidP="00EE488D">
            <w:pPr>
              <w:tabs>
                <w:tab w:val="left" w:pos="3780"/>
              </w:tabs>
              <w:rPr>
                <w:b/>
              </w:rPr>
            </w:pPr>
            <w:r w:rsidRPr="00EE488D">
              <w:rPr>
                <w:b/>
              </w:rPr>
              <w:t>REDD+ program.</w:t>
            </w:r>
          </w:p>
        </w:tc>
      </w:tr>
      <w:tr w:rsidR="00EE488D" w:rsidRPr="00810D39" w:rsidTr="00EE488D">
        <w:tc>
          <w:tcPr>
            <w:tcW w:w="540" w:type="dxa"/>
          </w:tcPr>
          <w:p w:rsidR="00EE488D" w:rsidRDefault="00EE488D" w:rsidP="00D57FBF">
            <w:r>
              <w:t>6</w:t>
            </w:r>
            <w:r>
              <w:t>.1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identifies and characterizes the rights and interests of all rights holder and stakeholder groups and their relevance to the REDD+ program.</w:t>
            </w:r>
          </w:p>
        </w:tc>
      </w:tr>
      <w:tr w:rsidR="00EE488D" w:rsidRPr="00810D39" w:rsidTr="00EE488D">
        <w:tc>
          <w:tcPr>
            <w:tcW w:w="540" w:type="dxa"/>
          </w:tcPr>
          <w:p w:rsidR="00EE488D" w:rsidRDefault="00EE488D" w:rsidP="00D57FBF">
            <w:r>
              <w:t>6</w:t>
            </w:r>
            <w:r>
              <w:t>.2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All relevant rights holder and stakeholder groups that want to be involved in REDD+ program design, implementation and evaluation are fully involved through effective consultation or more active participation.</w:t>
            </w:r>
          </w:p>
        </w:tc>
      </w:tr>
      <w:tr w:rsidR="00EE488D" w:rsidRPr="00810D39" w:rsidTr="00EE488D">
        <w:tc>
          <w:tcPr>
            <w:tcW w:w="540" w:type="dxa"/>
          </w:tcPr>
          <w:p w:rsidR="00EE488D" w:rsidRDefault="00EE488D" w:rsidP="00D57FBF">
            <w:r>
              <w:t>6</w:t>
            </w:r>
            <w:r>
              <w:t>.3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relevant rights holder and stakeholder groups determine, in a verifiable manner, the process by which they will be consulted and represented in relation to the REDD+ program, taking account of statutory and customary institutions.</w:t>
            </w:r>
          </w:p>
        </w:tc>
      </w:tr>
      <w:tr w:rsidR="00EE488D" w:rsidRPr="00810D39" w:rsidTr="00EE488D">
        <w:tc>
          <w:tcPr>
            <w:tcW w:w="540" w:type="dxa"/>
          </w:tcPr>
          <w:p w:rsidR="00EE488D" w:rsidRDefault="00EE488D" w:rsidP="00D57FBF">
            <w:r>
              <w:t>6</w:t>
            </w:r>
            <w:r>
              <w:t>.4</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Rights holder and stakeholder group representatives ensure effective involvement of, and accountability to, the people they represent and assist with consensus building.</w:t>
            </w:r>
          </w:p>
        </w:tc>
      </w:tr>
      <w:tr w:rsidR="00EE488D" w:rsidRPr="00810D39" w:rsidTr="00EE488D">
        <w:tc>
          <w:tcPr>
            <w:tcW w:w="540" w:type="dxa"/>
          </w:tcPr>
          <w:p w:rsidR="00EE488D" w:rsidRDefault="00EE488D" w:rsidP="00D57FBF">
            <w:r>
              <w:t>6.5</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relevant rights holders and stakeholder groups have a good understanding of the key issues related to the REDD+ program and the capacity to participate effectively.</w:t>
            </w:r>
          </w:p>
        </w:tc>
      </w:tr>
      <w:tr w:rsidR="00EE488D" w:rsidRPr="00810D39" w:rsidTr="00EE488D">
        <w:tc>
          <w:tcPr>
            <w:tcW w:w="540" w:type="dxa"/>
          </w:tcPr>
          <w:p w:rsidR="00EE488D" w:rsidRDefault="00EE488D" w:rsidP="00D57FBF">
            <w:r w:rsidRPr="00810D39">
              <w:rPr>
                <w:rFonts w:ascii="Arial" w:hAnsi="Arial" w:cs="Arial"/>
                <w:sz w:val="20"/>
                <w:szCs w:val="20"/>
              </w:rPr>
              <w:t>6.6</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Design, implementation and evaluation of the REDD+ program builds on and supports rights holders and stakeholders’ knowledge, skills and management systems including those of Indigenous Peoples and local communities.</w:t>
            </w:r>
          </w:p>
        </w:tc>
      </w:tr>
      <w:tr w:rsidR="00EE488D" w:rsidRPr="00810D39" w:rsidTr="00EE488D">
        <w:tc>
          <w:tcPr>
            <w:tcW w:w="540" w:type="dxa"/>
          </w:tcPr>
          <w:p w:rsidR="00EE488D" w:rsidRDefault="00EE488D" w:rsidP="00D57FBF">
            <w:r w:rsidRPr="00810D39">
              <w:rPr>
                <w:rFonts w:ascii="Arial" w:hAnsi="Arial" w:cs="Arial"/>
                <w:sz w:val="20"/>
                <w:szCs w:val="20"/>
              </w:rPr>
              <w:t>6.7</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Mechanisms are in place to receive and resolve grievances and disputes relating to the design, implementation and evaluation of the REDD+ program.</w:t>
            </w:r>
          </w:p>
        </w:tc>
      </w:tr>
      <w:tr w:rsidR="00EE488D" w:rsidRPr="00810D39" w:rsidTr="00EE488D">
        <w:tc>
          <w:tcPr>
            <w:tcW w:w="540" w:type="dxa"/>
          </w:tcPr>
          <w:p w:rsidR="00EE488D" w:rsidRDefault="00EE488D" w:rsidP="00D57FBF">
            <w:r w:rsidRPr="00810D39">
              <w:rPr>
                <w:rFonts w:ascii="Arial" w:hAnsi="Arial" w:cs="Arial"/>
                <w:sz w:val="20"/>
                <w:szCs w:val="20"/>
              </w:rPr>
              <w:t>6.8</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Rights holders and stakeholders have access to legal advice and understand relevant legal processes, and legal and financial implications related to the REDD+ program.</w:t>
            </w:r>
          </w:p>
        </w:tc>
      </w:tr>
      <w:tr w:rsidR="00EE488D" w:rsidRPr="00810D39" w:rsidTr="00EE488D">
        <w:tc>
          <w:tcPr>
            <w:tcW w:w="540" w:type="dxa"/>
          </w:tcPr>
          <w:p w:rsidR="00EE488D" w:rsidRDefault="00EE488D" w:rsidP="00D57FBF">
            <w:r w:rsidRPr="00810D39">
              <w:rPr>
                <w:rFonts w:ascii="Arial" w:hAnsi="Arial" w:cs="Arial"/>
                <w:sz w:val="20"/>
                <w:szCs w:val="20"/>
              </w:rPr>
              <w:t>6.9</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makes sufficient resources available to ensure full and effective participation of rights holders and stakeholders.</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7F5FB6" w:rsidRDefault="00EE488D" w:rsidP="00EE488D">
            <w:pPr>
              <w:tabs>
                <w:tab w:val="left" w:pos="3780"/>
              </w:tabs>
              <w:rPr>
                <w:b/>
              </w:rPr>
            </w:pPr>
            <w:r>
              <w:rPr>
                <w:b/>
              </w:rPr>
              <w:t xml:space="preserve">CCB – </w:t>
            </w:r>
            <w:r w:rsidRPr="002448C2">
              <w:rPr>
                <w:b/>
              </w:rPr>
              <w:t xml:space="preserve">Principle </w:t>
            </w:r>
            <w:r>
              <w:rPr>
                <w:b/>
              </w:rPr>
              <w:t>7</w:t>
            </w:r>
            <w:r w:rsidRPr="002448C2">
              <w:rPr>
                <w:b/>
              </w:rPr>
              <w:t xml:space="preserve">: </w:t>
            </w:r>
            <w:r w:rsidRPr="00EE488D">
              <w:rPr>
                <w:b/>
              </w:rPr>
              <w:t xml:space="preserve">All rights holders and stakeholders have timely access to appropriate and accurate information to enable </w:t>
            </w:r>
            <w:proofErr w:type="gramStart"/>
            <w:r w:rsidRPr="00EE488D">
              <w:rPr>
                <w:b/>
              </w:rPr>
              <w:t xml:space="preserve">informed  </w:t>
            </w:r>
            <w:proofErr w:type="spellStart"/>
            <w:r w:rsidRPr="00EE488D">
              <w:rPr>
                <w:b/>
              </w:rPr>
              <w:t>ecision</w:t>
            </w:r>
            <w:proofErr w:type="spellEnd"/>
            <w:proofErr w:type="gramEnd"/>
            <w:r w:rsidRPr="00EE488D">
              <w:rPr>
                <w:b/>
              </w:rPr>
              <w:t>-making and good governance of the REDD+ program.</w:t>
            </w:r>
          </w:p>
        </w:tc>
      </w:tr>
      <w:tr w:rsidR="00EE488D" w:rsidRPr="00810D39" w:rsidTr="00EE488D">
        <w:tc>
          <w:tcPr>
            <w:tcW w:w="540" w:type="dxa"/>
          </w:tcPr>
          <w:p w:rsidR="00EE488D" w:rsidRDefault="00EE488D" w:rsidP="00D57FBF">
            <w:r w:rsidRPr="00810D39">
              <w:rPr>
                <w:rFonts w:ascii="Arial" w:hAnsi="Arial" w:cs="Arial"/>
                <w:sz w:val="20"/>
                <w:szCs w:val="20"/>
              </w:rPr>
              <w:t>7.1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Adequate information about the REDD+ program is publicly available to promote general awareness and good governance.</w:t>
            </w:r>
          </w:p>
        </w:tc>
      </w:tr>
      <w:tr w:rsidR="00EE488D" w:rsidRPr="00810D39" w:rsidTr="00EE488D">
        <w:tc>
          <w:tcPr>
            <w:tcW w:w="540" w:type="dxa"/>
          </w:tcPr>
          <w:p w:rsidR="00EE488D" w:rsidRDefault="00EE488D" w:rsidP="00D57FBF">
            <w:r w:rsidRPr="00810D39">
              <w:rPr>
                <w:rFonts w:ascii="Arial" w:hAnsi="Arial" w:cs="Arial"/>
                <w:sz w:val="20"/>
                <w:szCs w:val="20"/>
              </w:rPr>
              <w:t>7.2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Rights holders and stakeholders have the information that they need about the REDD+ program, provided in an appropriate and timely way, to participate fully and effectively in program design, implementation and evaluation, including information about potential social, cultural, economic and ecological risks and opportunities, legal implications, and the global and national context.</w:t>
            </w:r>
          </w:p>
        </w:tc>
      </w:tr>
      <w:tr w:rsidR="00EE488D" w:rsidRPr="00810D39" w:rsidTr="00EE488D">
        <w:tc>
          <w:tcPr>
            <w:tcW w:w="540" w:type="dxa"/>
          </w:tcPr>
          <w:p w:rsidR="00EE488D" w:rsidRDefault="00EE488D" w:rsidP="00D57FBF">
            <w:r w:rsidRPr="00810D39">
              <w:rPr>
                <w:rFonts w:ascii="Arial" w:hAnsi="Arial" w:cs="Arial"/>
                <w:sz w:val="20"/>
                <w:szCs w:val="20"/>
              </w:rPr>
              <w:t>7.3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Rights holder and stakeholder group representatives collect and disseminate all relevant information about the REDD+ program from and to the people they represent in an appropriate and timely way.</w:t>
            </w:r>
          </w:p>
        </w:tc>
      </w:tr>
      <w:tr w:rsidR="00EE488D" w:rsidRPr="00810D39" w:rsidTr="00EE488D">
        <w:tc>
          <w:tcPr>
            <w:tcW w:w="540" w:type="dxa"/>
          </w:tcPr>
          <w:p w:rsidR="00EE488D" w:rsidRDefault="00EE488D" w:rsidP="00D57FBF">
            <w:r w:rsidRPr="00810D39">
              <w:rPr>
                <w:rFonts w:ascii="Arial" w:hAnsi="Arial" w:cs="Arial"/>
                <w:sz w:val="20"/>
                <w:szCs w:val="20"/>
              </w:rPr>
              <w:t>7.4</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Information is available and disseminated about the REDD+ program in time to enable rights holder and stakeholder feedback to their representatives and respecting the time needed for inclusive decision making.</w:t>
            </w:r>
          </w:p>
        </w:tc>
      </w:tr>
      <w:tr w:rsidR="00EE488D" w:rsidRPr="00810D39" w:rsidTr="00EE488D">
        <w:tc>
          <w:tcPr>
            <w:tcW w:w="540" w:type="dxa"/>
          </w:tcPr>
          <w:p w:rsidR="00EE488D" w:rsidRDefault="00EE488D" w:rsidP="00D57FBF">
            <w:r w:rsidRPr="00810D39">
              <w:rPr>
                <w:rFonts w:ascii="Arial" w:hAnsi="Arial" w:cs="Arial"/>
                <w:sz w:val="20"/>
                <w:szCs w:val="20"/>
              </w:rPr>
              <w:t>7.5</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makes sufficient resources available to provide and collect information in a timely and appropriate manner.</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540"/>
        <w:gridCol w:w="990"/>
        <w:gridCol w:w="2160"/>
        <w:gridCol w:w="3150"/>
        <w:gridCol w:w="3780"/>
      </w:tblGrid>
      <w:tr w:rsidR="00EE488D" w:rsidRPr="007F5FB6" w:rsidTr="00EE488D">
        <w:tc>
          <w:tcPr>
            <w:tcW w:w="10620" w:type="dxa"/>
            <w:gridSpan w:val="5"/>
            <w:shd w:val="clear" w:color="auto" w:fill="000000" w:themeFill="text1"/>
          </w:tcPr>
          <w:p w:rsidR="00EE488D" w:rsidRPr="007F5FB6" w:rsidRDefault="00EE488D" w:rsidP="00EE488D">
            <w:pPr>
              <w:tabs>
                <w:tab w:val="left" w:pos="3780"/>
              </w:tabs>
              <w:rPr>
                <w:b/>
              </w:rPr>
            </w:pPr>
            <w:r>
              <w:rPr>
                <w:b/>
              </w:rPr>
              <w:t xml:space="preserve">CCB – </w:t>
            </w:r>
            <w:r w:rsidRPr="002448C2">
              <w:rPr>
                <w:b/>
              </w:rPr>
              <w:t xml:space="preserve">Principle </w:t>
            </w:r>
            <w:r>
              <w:rPr>
                <w:b/>
              </w:rPr>
              <w:t>8</w:t>
            </w:r>
            <w:r w:rsidRPr="002448C2">
              <w:rPr>
                <w:b/>
              </w:rPr>
              <w:t xml:space="preserve">: </w:t>
            </w:r>
            <w:r w:rsidRPr="00EE488D">
              <w:rPr>
                <w:b/>
              </w:rPr>
              <w:t>The REDD+ program complies with applicable local and national laws and international treaties, conventions and agreements.</w:t>
            </w:r>
          </w:p>
        </w:tc>
      </w:tr>
      <w:tr w:rsidR="00EE488D" w:rsidRPr="00810D39" w:rsidTr="00EE488D">
        <w:tc>
          <w:tcPr>
            <w:tcW w:w="540" w:type="dxa"/>
          </w:tcPr>
          <w:p w:rsidR="00EE488D" w:rsidRDefault="00EE488D" w:rsidP="00D57FBF">
            <w:r w:rsidRPr="00810D39">
              <w:rPr>
                <w:rFonts w:ascii="Arial" w:hAnsi="Arial" w:cs="Arial"/>
                <w:sz w:val="20"/>
                <w:szCs w:val="20"/>
              </w:rPr>
              <w:t>8.1</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The REDD+ program complies with local law, national law and international treaties, conventions and agreements ratified or adopted by the country.</w:t>
            </w:r>
          </w:p>
        </w:tc>
      </w:tr>
      <w:tr w:rsidR="00EE488D" w:rsidRPr="00810D39" w:rsidTr="00EE488D">
        <w:tc>
          <w:tcPr>
            <w:tcW w:w="540" w:type="dxa"/>
          </w:tcPr>
          <w:p w:rsidR="00EE488D" w:rsidRDefault="00EE488D" w:rsidP="00D57FBF">
            <w:r w:rsidRPr="00810D39">
              <w:rPr>
                <w:rFonts w:ascii="Arial" w:hAnsi="Arial" w:cs="Arial"/>
                <w:sz w:val="20"/>
                <w:szCs w:val="20"/>
              </w:rPr>
              <w:t>8.2</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Where local or national law is not consistent with the standards, a review process should be undertaken that results in a plan to resolve the inconsistencies.</w:t>
            </w:r>
          </w:p>
        </w:tc>
      </w:tr>
      <w:tr w:rsidR="00EE488D" w:rsidRPr="00810D39" w:rsidTr="00EE488D">
        <w:tc>
          <w:tcPr>
            <w:tcW w:w="540" w:type="dxa"/>
          </w:tcPr>
          <w:p w:rsidR="00EE488D" w:rsidRDefault="00EE488D" w:rsidP="00D57FBF">
            <w:r w:rsidRPr="00810D39">
              <w:rPr>
                <w:rFonts w:ascii="Arial" w:hAnsi="Arial" w:cs="Arial"/>
                <w:sz w:val="20"/>
                <w:szCs w:val="20"/>
              </w:rPr>
              <w:t>8.3</w:t>
            </w:r>
          </w:p>
        </w:tc>
        <w:tc>
          <w:tcPr>
            <w:tcW w:w="10080" w:type="dxa"/>
            <w:gridSpan w:val="4"/>
            <w:vAlign w:val="center"/>
          </w:tcPr>
          <w:p w:rsidR="00EE488D" w:rsidRPr="00810D39" w:rsidRDefault="00EE488D" w:rsidP="00D57FBF">
            <w:pPr>
              <w:rPr>
                <w:rFonts w:ascii="Arial" w:hAnsi="Arial" w:cs="Arial"/>
                <w:sz w:val="20"/>
                <w:szCs w:val="20"/>
              </w:rPr>
            </w:pPr>
            <w:r w:rsidRPr="00810D39">
              <w:rPr>
                <w:rFonts w:ascii="Arial" w:hAnsi="Arial" w:cs="Arial"/>
                <w:sz w:val="20"/>
                <w:szCs w:val="20"/>
              </w:rPr>
              <w:t>Relevant rights holders and stakeholders have the capacity to understand, implement and monitor legal requirements related to the REDD+ program.</w:t>
            </w:r>
          </w:p>
        </w:tc>
      </w:tr>
      <w:tr w:rsidR="00EE488D" w:rsidRPr="007F5FB6" w:rsidTr="00EE488D">
        <w:tc>
          <w:tcPr>
            <w:tcW w:w="10620" w:type="dxa"/>
            <w:gridSpan w:val="5"/>
          </w:tcPr>
          <w:p w:rsidR="00EE488D" w:rsidRPr="007F5FB6" w:rsidRDefault="00EE488D" w:rsidP="00D57FBF">
            <w:pPr>
              <w:jc w:val="center"/>
              <w:rPr>
                <w:b/>
              </w:rPr>
            </w:pPr>
            <w:r w:rsidRPr="007F5FB6">
              <w:rPr>
                <w:b/>
              </w:rPr>
              <w:t>Project Indicators to Ensure Compliance to Principle</w:t>
            </w:r>
          </w:p>
        </w:tc>
      </w:tr>
      <w:tr w:rsidR="00EE488D" w:rsidTr="00EE488D">
        <w:tc>
          <w:tcPr>
            <w:tcW w:w="1530" w:type="dxa"/>
            <w:gridSpan w:val="2"/>
          </w:tcPr>
          <w:p w:rsidR="00EE488D" w:rsidRDefault="00EE488D" w:rsidP="00D57FBF">
            <w:pPr>
              <w:jc w:val="center"/>
            </w:pPr>
            <w:r>
              <w:t>Theme</w:t>
            </w:r>
          </w:p>
        </w:tc>
        <w:tc>
          <w:tcPr>
            <w:tcW w:w="2160" w:type="dxa"/>
          </w:tcPr>
          <w:p w:rsidR="00EE488D" w:rsidRDefault="00EE488D" w:rsidP="00D57FBF">
            <w:pPr>
              <w:jc w:val="center"/>
            </w:pPr>
            <w:r>
              <w:t>Indicator</w:t>
            </w:r>
          </w:p>
        </w:tc>
        <w:tc>
          <w:tcPr>
            <w:tcW w:w="3150" w:type="dxa"/>
          </w:tcPr>
          <w:p w:rsidR="00EE488D" w:rsidRDefault="00EE488D" w:rsidP="00D57FBF">
            <w:pPr>
              <w:jc w:val="center"/>
            </w:pPr>
            <w:r>
              <w:t>Reference</w:t>
            </w:r>
          </w:p>
        </w:tc>
        <w:tc>
          <w:tcPr>
            <w:tcW w:w="3780" w:type="dxa"/>
          </w:tcPr>
          <w:p w:rsidR="00EE488D" w:rsidRDefault="00EE488D" w:rsidP="00D57FBF">
            <w:pPr>
              <w:jc w:val="center"/>
            </w:pPr>
            <w:r>
              <w:t xml:space="preserve">Requirement for Verification </w:t>
            </w: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98"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pStyle w:val="ListParagraph"/>
              <w:numPr>
                <w:ilvl w:val="0"/>
                <w:numId w:val="1"/>
              </w:numPr>
              <w:ind w:left="162" w:hanging="18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r w:rsidR="00EE488D" w:rsidTr="00EE488D">
        <w:tc>
          <w:tcPr>
            <w:tcW w:w="1530" w:type="dxa"/>
            <w:gridSpan w:val="2"/>
          </w:tcPr>
          <w:p w:rsidR="00EE488D" w:rsidRDefault="00EE488D" w:rsidP="00D57FBF"/>
        </w:tc>
        <w:tc>
          <w:tcPr>
            <w:tcW w:w="2160" w:type="dxa"/>
          </w:tcPr>
          <w:p w:rsidR="00EE488D" w:rsidRDefault="00EE488D" w:rsidP="00D57FBF"/>
        </w:tc>
        <w:tc>
          <w:tcPr>
            <w:tcW w:w="3150" w:type="dxa"/>
          </w:tcPr>
          <w:p w:rsidR="00EE488D" w:rsidRDefault="00EE488D" w:rsidP="00D57FBF">
            <w:pPr>
              <w:autoSpaceDE w:val="0"/>
              <w:autoSpaceDN w:val="0"/>
              <w:adjustRightInd w:val="0"/>
            </w:pPr>
          </w:p>
        </w:tc>
        <w:tc>
          <w:tcPr>
            <w:tcW w:w="3780" w:type="dxa"/>
          </w:tcPr>
          <w:p w:rsidR="00EE488D" w:rsidRDefault="00EE488D" w:rsidP="00D57FBF">
            <w:pPr>
              <w:pStyle w:val="ListParagraph"/>
              <w:numPr>
                <w:ilvl w:val="0"/>
                <w:numId w:val="1"/>
              </w:numPr>
              <w:autoSpaceDE w:val="0"/>
              <w:autoSpaceDN w:val="0"/>
              <w:adjustRightInd w:val="0"/>
              <w:ind w:left="162" w:hanging="162"/>
            </w:pPr>
          </w:p>
        </w:tc>
      </w:tr>
    </w:tbl>
    <w:p w:rsidR="00EE488D" w:rsidRDefault="00EE488D" w:rsidP="002448C2"/>
    <w:p w:rsidR="00EE488D" w:rsidRDefault="00EE488D" w:rsidP="002448C2"/>
    <w:p w:rsidR="00EE488D" w:rsidRDefault="00EE488D" w:rsidP="002448C2"/>
    <w:sectPr w:rsidR="00EE488D" w:rsidSect="00312A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C5AA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7F5FB6"/>
    <w:rsid w:val="000173FB"/>
    <w:rsid w:val="00025A39"/>
    <w:rsid w:val="00061740"/>
    <w:rsid w:val="00080485"/>
    <w:rsid w:val="00094FE5"/>
    <w:rsid w:val="000D59DD"/>
    <w:rsid w:val="00126ECF"/>
    <w:rsid w:val="001F3C89"/>
    <w:rsid w:val="0021153F"/>
    <w:rsid w:val="002448C2"/>
    <w:rsid w:val="003123B2"/>
    <w:rsid w:val="00312AD2"/>
    <w:rsid w:val="00321E32"/>
    <w:rsid w:val="00437971"/>
    <w:rsid w:val="00445D5E"/>
    <w:rsid w:val="004A670D"/>
    <w:rsid w:val="004D743F"/>
    <w:rsid w:val="00504726"/>
    <w:rsid w:val="005366A6"/>
    <w:rsid w:val="00576E96"/>
    <w:rsid w:val="005A3A31"/>
    <w:rsid w:val="005B1FA9"/>
    <w:rsid w:val="0067330B"/>
    <w:rsid w:val="006779BC"/>
    <w:rsid w:val="006C1F82"/>
    <w:rsid w:val="006D2C8D"/>
    <w:rsid w:val="007046DB"/>
    <w:rsid w:val="00735C64"/>
    <w:rsid w:val="007534A8"/>
    <w:rsid w:val="00786520"/>
    <w:rsid w:val="007A27B2"/>
    <w:rsid w:val="007B3DFB"/>
    <w:rsid w:val="007F5FB6"/>
    <w:rsid w:val="00891FE9"/>
    <w:rsid w:val="00904BC8"/>
    <w:rsid w:val="0097454D"/>
    <w:rsid w:val="00997F41"/>
    <w:rsid w:val="009E502C"/>
    <w:rsid w:val="00A568C4"/>
    <w:rsid w:val="00A66544"/>
    <w:rsid w:val="00A76B18"/>
    <w:rsid w:val="00AA4FA8"/>
    <w:rsid w:val="00AF07F9"/>
    <w:rsid w:val="00B157CF"/>
    <w:rsid w:val="00B1662D"/>
    <w:rsid w:val="00B4495E"/>
    <w:rsid w:val="00B75B08"/>
    <w:rsid w:val="00CE4D41"/>
    <w:rsid w:val="00E07326"/>
    <w:rsid w:val="00EA7B7F"/>
    <w:rsid w:val="00EE488D"/>
    <w:rsid w:val="00EF56EF"/>
    <w:rsid w:val="00F0620E"/>
    <w:rsid w:val="00F62F13"/>
    <w:rsid w:val="00F840C1"/>
    <w:rsid w:val="00FE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2</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tkidman</dc:creator>
  <cp:lastModifiedBy>tkidman</cp:lastModifiedBy>
  <cp:revision>4</cp:revision>
  <dcterms:created xsi:type="dcterms:W3CDTF">2010-11-04T17:16:00Z</dcterms:created>
  <dcterms:modified xsi:type="dcterms:W3CDTF">2010-11-04T17:57:00Z</dcterms:modified>
</cp:coreProperties>
</file>