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F3" w:rsidRDefault="00001AF3" w:rsidP="008E2C69">
      <w:pPr>
        <w:jc w:val="center"/>
        <w:rPr>
          <w:rFonts w:ascii="Arial" w:hAnsi="Arial" w:cs="Arial"/>
          <w:sz w:val="52"/>
          <w:szCs w:val="52"/>
        </w:rPr>
      </w:pPr>
      <w:bookmarkStart w:id="0" w:name="_GoBack"/>
      <w:bookmarkEnd w:id="0"/>
    </w:p>
    <w:p w:rsidR="00666D48" w:rsidRPr="008E2C69" w:rsidRDefault="00CA2F3A" w:rsidP="008E2C69">
      <w:pPr>
        <w:jc w:val="center"/>
        <w:rPr>
          <w:rFonts w:ascii="Arial" w:hAnsi="Arial" w:cs="Arial"/>
          <w:sz w:val="52"/>
          <w:szCs w:val="52"/>
        </w:rPr>
      </w:pPr>
      <w:r w:rsidRPr="008E2C69">
        <w:rPr>
          <w:rFonts w:ascii="Arial" w:hAnsi="Arial" w:cs="Arial"/>
          <w:sz w:val="52"/>
          <w:szCs w:val="52"/>
        </w:rPr>
        <w:t xml:space="preserve">Guidance for Transitioning Early Action Projects to the </w:t>
      </w:r>
      <w:r w:rsidR="00773B26">
        <w:rPr>
          <w:rFonts w:ascii="Arial" w:hAnsi="Arial" w:cs="Arial"/>
          <w:sz w:val="52"/>
          <w:szCs w:val="52"/>
        </w:rPr>
        <w:t xml:space="preserve">California </w:t>
      </w:r>
      <w:r w:rsidRPr="008E2C69">
        <w:rPr>
          <w:rFonts w:ascii="Arial" w:hAnsi="Arial" w:cs="Arial"/>
          <w:sz w:val="52"/>
          <w:szCs w:val="52"/>
        </w:rPr>
        <w:t>Air Resources Board</w:t>
      </w:r>
      <w:r w:rsidR="00143812" w:rsidRPr="008E2C69">
        <w:rPr>
          <w:rFonts w:ascii="Arial" w:hAnsi="Arial" w:cs="Arial"/>
          <w:sz w:val="52"/>
          <w:szCs w:val="52"/>
        </w:rPr>
        <w:t xml:space="preserve">’s </w:t>
      </w:r>
      <w:r w:rsidRPr="008E2C69">
        <w:rPr>
          <w:rFonts w:ascii="Arial" w:hAnsi="Arial" w:cs="Arial"/>
          <w:sz w:val="52"/>
          <w:szCs w:val="52"/>
        </w:rPr>
        <w:t>Compliance Offset Protocol</w:t>
      </w:r>
      <w:r w:rsidR="00143812" w:rsidRPr="008E2C69">
        <w:rPr>
          <w:rFonts w:ascii="Arial" w:hAnsi="Arial" w:cs="Arial"/>
          <w:sz w:val="52"/>
          <w:szCs w:val="52"/>
        </w:rPr>
        <w:t xml:space="preserve"> U.S</w:t>
      </w:r>
      <w:r w:rsidR="00B50DAD">
        <w:rPr>
          <w:rFonts w:ascii="Arial" w:hAnsi="Arial" w:cs="Arial"/>
          <w:sz w:val="52"/>
          <w:szCs w:val="52"/>
        </w:rPr>
        <w:t>.</w:t>
      </w:r>
      <w:r w:rsidR="00143812" w:rsidRPr="008E2C69">
        <w:rPr>
          <w:rFonts w:ascii="Arial" w:hAnsi="Arial" w:cs="Arial"/>
          <w:sz w:val="52"/>
          <w:szCs w:val="52"/>
        </w:rPr>
        <w:t xml:space="preserve"> Forest Projects</w:t>
      </w: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282191" w:rsidP="00282191">
      <w:pPr>
        <w:tabs>
          <w:tab w:val="left" w:pos="3900"/>
        </w:tabs>
        <w:rPr>
          <w:rFonts w:ascii="Arial" w:hAnsi="Arial" w:cs="Arial"/>
          <w:sz w:val="24"/>
          <w:szCs w:val="24"/>
        </w:rPr>
      </w:pPr>
      <w:r>
        <w:rPr>
          <w:rFonts w:ascii="Arial" w:hAnsi="Arial" w:cs="Arial"/>
          <w:sz w:val="24"/>
          <w:szCs w:val="24"/>
        </w:rPr>
        <w:tab/>
      </w:r>
    </w:p>
    <w:p w:rsidR="008E2C69" w:rsidRDefault="008E2C69" w:rsidP="00282191">
      <w:pPr>
        <w:jc w:val="cente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8E2C69" w:rsidRDefault="008E2C69" w:rsidP="008900EB">
      <w:pPr>
        <w:rPr>
          <w:rFonts w:ascii="Arial" w:hAnsi="Arial" w:cs="Arial"/>
          <w:sz w:val="24"/>
          <w:szCs w:val="24"/>
        </w:rPr>
      </w:pPr>
    </w:p>
    <w:p w:rsidR="005A50E2" w:rsidRPr="007368C9" w:rsidRDefault="00833A3C" w:rsidP="008900EB">
      <w:pPr>
        <w:rPr>
          <w:rFonts w:ascii="Arial" w:hAnsi="Arial" w:cs="Arial"/>
          <w:sz w:val="24"/>
          <w:szCs w:val="24"/>
        </w:rPr>
      </w:pPr>
      <w:r>
        <w:rPr>
          <w:rFonts w:ascii="Arial" w:hAnsi="Arial" w:cs="Arial"/>
          <w:sz w:val="24"/>
          <w:szCs w:val="24"/>
        </w:rPr>
        <w:lastRenderedPageBreak/>
        <w:t>March 1</w:t>
      </w:r>
      <w:r w:rsidR="00D923CE">
        <w:rPr>
          <w:rFonts w:ascii="Arial" w:hAnsi="Arial" w:cs="Arial"/>
          <w:sz w:val="24"/>
          <w:szCs w:val="24"/>
        </w:rPr>
        <w:t>9</w:t>
      </w:r>
      <w:r>
        <w:rPr>
          <w:rFonts w:ascii="Arial" w:hAnsi="Arial" w:cs="Arial"/>
          <w:sz w:val="24"/>
          <w:szCs w:val="24"/>
        </w:rPr>
        <w:t>, 2015</w:t>
      </w:r>
    </w:p>
    <w:sdt>
      <w:sdtPr>
        <w:rPr>
          <w:rFonts w:ascii="Arial" w:hAnsi="Arial" w:cs="Arial"/>
          <w:sz w:val="24"/>
          <w:szCs w:val="24"/>
        </w:rPr>
        <w:id w:val="1617788812"/>
        <w:docPartObj>
          <w:docPartGallery w:val="Table of Contents"/>
          <w:docPartUnique/>
        </w:docPartObj>
      </w:sdtPr>
      <w:sdtEndPr/>
      <w:sdtContent>
        <w:p w:rsidR="004D31D8" w:rsidRPr="007368C9" w:rsidRDefault="004D31D8" w:rsidP="008900EB">
          <w:pPr>
            <w:rPr>
              <w:rFonts w:ascii="Arial" w:hAnsi="Arial" w:cs="Arial"/>
              <w:sz w:val="24"/>
              <w:szCs w:val="24"/>
            </w:rPr>
          </w:pPr>
          <w:r w:rsidRPr="007368C9">
            <w:rPr>
              <w:rFonts w:ascii="Arial" w:hAnsi="Arial" w:cs="Arial"/>
              <w:sz w:val="24"/>
              <w:szCs w:val="24"/>
            </w:rPr>
            <w:t>Table of Contents</w:t>
          </w:r>
        </w:p>
        <w:p w:rsidR="00282191" w:rsidRDefault="004D31D8">
          <w:pPr>
            <w:pStyle w:val="TOC1"/>
            <w:tabs>
              <w:tab w:val="left" w:pos="440"/>
              <w:tab w:val="right" w:leader="dot" w:pos="9350"/>
            </w:tabs>
            <w:rPr>
              <w:noProof/>
            </w:rPr>
          </w:pPr>
          <w:r w:rsidRPr="007368C9">
            <w:rPr>
              <w:rFonts w:ascii="Arial" w:hAnsi="Arial" w:cs="Arial"/>
              <w:sz w:val="24"/>
              <w:szCs w:val="24"/>
            </w:rPr>
            <w:fldChar w:fldCharType="begin"/>
          </w:r>
          <w:r w:rsidRPr="007368C9">
            <w:rPr>
              <w:rFonts w:ascii="Arial" w:hAnsi="Arial" w:cs="Arial"/>
              <w:sz w:val="24"/>
              <w:szCs w:val="24"/>
            </w:rPr>
            <w:instrText xml:space="preserve"> TOC \o "1-3" \h \z \u </w:instrText>
          </w:r>
          <w:r w:rsidRPr="007368C9">
            <w:rPr>
              <w:rFonts w:ascii="Arial" w:hAnsi="Arial" w:cs="Arial"/>
              <w:sz w:val="24"/>
              <w:szCs w:val="24"/>
            </w:rPr>
            <w:fldChar w:fldCharType="separate"/>
          </w:r>
          <w:hyperlink w:anchor="_Toc414534267" w:history="1">
            <w:r w:rsidR="00282191" w:rsidRPr="008A6135">
              <w:rPr>
                <w:rStyle w:val="Hyperlink"/>
                <w:rFonts w:ascii="Arial" w:hAnsi="Arial" w:cs="Arial"/>
                <w:noProof/>
              </w:rPr>
              <w:t>1.</w:t>
            </w:r>
            <w:r w:rsidR="00282191">
              <w:rPr>
                <w:noProof/>
              </w:rPr>
              <w:tab/>
            </w:r>
            <w:r w:rsidR="00282191" w:rsidRPr="008A6135">
              <w:rPr>
                <w:rStyle w:val="Hyperlink"/>
                <w:rFonts w:ascii="Arial" w:hAnsi="Arial" w:cs="Arial"/>
                <w:noProof/>
              </w:rPr>
              <w:t>Introduction</w:t>
            </w:r>
            <w:r w:rsidR="00282191">
              <w:rPr>
                <w:noProof/>
                <w:webHidden/>
              </w:rPr>
              <w:tab/>
            </w:r>
            <w:r w:rsidR="00282191">
              <w:rPr>
                <w:noProof/>
                <w:webHidden/>
              </w:rPr>
              <w:fldChar w:fldCharType="begin"/>
            </w:r>
            <w:r w:rsidR="00282191">
              <w:rPr>
                <w:noProof/>
                <w:webHidden/>
              </w:rPr>
              <w:instrText xml:space="preserve"> PAGEREF _Toc414534267 \h </w:instrText>
            </w:r>
            <w:r w:rsidR="00282191">
              <w:rPr>
                <w:noProof/>
                <w:webHidden/>
              </w:rPr>
            </w:r>
            <w:r w:rsidR="00282191">
              <w:rPr>
                <w:noProof/>
                <w:webHidden/>
              </w:rPr>
              <w:fldChar w:fldCharType="separate"/>
            </w:r>
            <w:r w:rsidR="00282191">
              <w:rPr>
                <w:noProof/>
                <w:webHidden/>
              </w:rPr>
              <w:t>3</w:t>
            </w:r>
            <w:r w:rsidR="00282191">
              <w:rPr>
                <w:noProof/>
                <w:webHidden/>
              </w:rPr>
              <w:fldChar w:fldCharType="end"/>
            </w:r>
          </w:hyperlink>
        </w:p>
        <w:p w:rsidR="00282191" w:rsidRDefault="0064730F">
          <w:pPr>
            <w:pStyle w:val="TOC1"/>
            <w:tabs>
              <w:tab w:val="left" w:pos="440"/>
              <w:tab w:val="right" w:leader="dot" w:pos="9350"/>
            </w:tabs>
            <w:rPr>
              <w:noProof/>
            </w:rPr>
          </w:pPr>
          <w:hyperlink w:anchor="_Toc414534268" w:history="1">
            <w:r w:rsidR="00282191" w:rsidRPr="008A6135">
              <w:rPr>
                <w:rStyle w:val="Hyperlink"/>
                <w:rFonts w:ascii="Arial" w:hAnsi="Arial" w:cs="Arial"/>
                <w:noProof/>
              </w:rPr>
              <w:t>2.</w:t>
            </w:r>
            <w:r w:rsidR="00282191">
              <w:rPr>
                <w:noProof/>
              </w:rPr>
              <w:tab/>
            </w:r>
            <w:r w:rsidR="00282191" w:rsidRPr="008A6135">
              <w:rPr>
                <w:rStyle w:val="Hyperlink"/>
                <w:rFonts w:ascii="Arial" w:hAnsi="Arial" w:cs="Arial"/>
                <w:noProof/>
              </w:rPr>
              <w:t>Important Transition Timelines</w:t>
            </w:r>
            <w:r w:rsidR="00282191">
              <w:rPr>
                <w:noProof/>
                <w:webHidden/>
              </w:rPr>
              <w:tab/>
            </w:r>
            <w:r w:rsidR="00282191">
              <w:rPr>
                <w:noProof/>
                <w:webHidden/>
              </w:rPr>
              <w:fldChar w:fldCharType="begin"/>
            </w:r>
            <w:r w:rsidR="00282191">
              <w:rPr>
                <w:noProof/>
                <w:webHidden/>
              </w:rPr>
              <w:instrText xml:space="preserve"> PAGEREF _Toc414534268 \h </w:instrText>
            </w:r>
            <w:r w:rsidR="00282191">
              <w:rPr>
                <w:noProof/>
                <w:webHidden/>
              </w:rPr>
            </w:r>
            <w:r w:rsidR="00282191">
              <w:rPr>
                <w:noProof/>
                <w:webHidden/>
              </w:rPr>
              <w:fldChar w:fldCharType="separate"/>
            </w:r>
            <w:r w:rsidR="00282191">
              <w:rPr>
                <w:noProof/>
                <w:webHidden/>
              </w:rPr>
              <w:t>3</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69" w:history="1">
            <w:r w:rsidR="00282191" w:rsidRPr="008A6135">
              <w:rPr>
                <w:rStyle w:val="Hyperlink"/>
                <w:rFonts w:ascii="Arial" w:hAnsi="Arial" w:cs="Arial"/>
                <w:noProof/>
              </w:rPr>
              <w:t>2.1.</w:t>
            </w:r>
            <w:r w:rsidR="00282191">
              <w:rPr>
                <w:noProof/>
              </w:rPr>
              <w:tab/>
            </w:r>
            <w:r w:rsidR="00282191" w:rsidRPr="008A6135">
              <w:rPr>
                <w:rStyle w:val="Hyperlink"/>
                <w:rFonts w:ascii="Arial" w:hAnsi="Arial" w:cs="Arial"/>
                <w:noProof/>
              </w:rPr>
              <w:t>Converting Early Action Offset Program credits to ARB offset credits</w:t>
            </w:r>
            <w:r w:rsidR="00282191">
              <w:rPr>
                <w:noProof/>
                <w:webHidden/>
              </w:rPr>
              <w:tab/>
            </w:r>
            <w:r w:rsidR="00282191">
              <w:rPr>
                <w:noProof/>
                <w:webHidden/>
              </w:rPr>
              <w:fldChar w:fldCharType="begin"/>
            </w:r>
            <w:r w:rsidR="00282191">
              <w:rPr>
                <w:noProof/>
                <w:webHidden/>
              </w:rPr>
              <w:instrText xml:space="preserve"> PAGEREF _Toc414534269 \h </w:instrText>
            </w:r>
            <w:r w:rsidR="00282191">
              <w:rPr>
                <w:noProof/>
                <w:webHidden/>
              </w:rPr>
            </w:r>
            <w:r w:rsidR="00282191">
              <w:rPr>
                <w:noProof/>
                <w:webHidden/>
              </w:rPr>
              <w:fldChar w:fldCharType="separate"/>
            </w:r>
            <w:r w:rsidR="00282191">
              <w:rPr>
                <w:noProof/>
                <w:webHidden/>
              </w:rPr>
              <w:t>3</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70" w:history="1">
            <w:r w:rsidR="00282191" w:rsidRPr="008A6135">
              <w:rPr>
                <w:rStyle w:val="Hyperlink"/>
                <w:rFonts w:ascii="Arial" w:hAnsi="Arial" w:cs="Arial"/>
                <w:noProof/>
              </w:rPr>
              <w:t>2.2.</w:t>
            </w:r>
            <w:r w:rsidR="00282191">
              <w:rPr>
                <w:noProof/>
              </w:rPr>
              <w:tab/>
            </w:r>
            <w:r w:rsidR="00282191" w:rsidRPr="008A6135">
              <w:rPr>
                <w:rStyle w:val="Hyperlink"/>
                <w:rFonts w:ascii="Arial" w:hAnsi="Arial" w:cs="Arial"/>
                <w:noProof/>
              </w:rPr>
              <w:t>Transitioning Early Action Offset Projects to ARB’s Compliance Offset Program:</w:t>
            </w:r>
            <w:r w:rsidR="00282191">
              <w:rPr>
                <w:noProof/>
                <w:webHidden/>
              </w:rPr>
              <w:tab/>
            </w:r>
            <w:r w:rsidR="00282191">
              <w:rPr>
                <w:noProof/>
                <w:webHidden/>
              </w:rPr>
              <w:fldChar w:fldCharType="begin"/>
            </w:r>
            <w:r w:rsidR="00282191">
              <w:rPr>
                <w:noProof/>
                <w:webHidden/>
              </w:rPr>
              <w:instrText xml:space="preserve"> PAGEREF _Toc414534270 \h </w:instrText>
            </w:r>
            <w:r w:rsidR="00282191">
              <w:rPr>
                <w:noProof/>
                <w:webHidden/>
              </w:rPr>
            </w:r>
            <w:r w:rsidR="00282191">
              <w:rPr>
                <w:noProof/>
                <w:webHidden/>
              </w:rPr>
              <w:fldChar w:fldCharType="separate"/>
            </w:r>
            <w:r w:rsidR="00282191">
              <w:rPr>
                <w:noProof/>
                <w:webHidden/>
              </w:rPr>
              <w:t>4</w:t>
            </w:r>
            <w:r w:rsidR="00282191">
              <w:rPr>
                <w:noProof/>
                <w:webHidden/>
              </w:rPr>
              <w:fldChar w:fldCharType="end"/>
            </w:r>
          </w:hyperlink>
        </w:p>
        <w:p w:rsidR="00282191" w:rsidRDefault="0064730F">
          <w:pPr>
            <w:pStyle w:val="TOC1"/>
            <w:tabs>
              <w:tab w:val="left" w:pos="440"/>
              <w:tab w:val="right" w:leader="dot" w:pos="9350"/>
            </w:tabs>
            <w:rPr>
              <w:noProof/>
            </w:rPr>
          </w:pPr>
          <w:hyperlink w:anchor="_Toc414534271" w:history="1">
            <w:r w:rsidR="00282191" w:rsidRPr="008A6135">
              <w:rPr>
                <w:rStyle w:val="Hyperlink"/>
                <w:rFonts w:ascii="Arial" w:hAnsi="Arial" w:cs="Arial"/>
                <w:noProof/>
              </w:rPr>
              <w:t>3.</w:t>
            </w:r>
            <w:r w:rsidR="00282191">
              <w:rPr>
                <w:noProof/>
              </w:rPr>
              <w:tab/>
            </w:r>
            <w:r w:rsidR="00282191" w:rsidRPr="008A6135">
              <w:rPr>
                <w:rStyle w:val="Hyperlink"/>
                <w:rFonts w:ascii="Arial" w:hAnsi="Arial" w:cs="Arial"/>
                <w:noProof/>
              </w:rPr>
              <w:t>Transition Date</w:t>
            </w:r>
            <w:r w:rsidR="00282191">
              <w:rPr>
                <w:noProof/>
                <w:webHidden/>
              </w:rPr>
              <w:tab/>
            </w:r>
            <w:r w:rsidR="00282191">
              <w:rPr>
                <w:noProof/>
                <w:webHidden/>
              </w:rPr>
              <w:fldChar w:fldCharType="begin"/>
            </w:r>
            <w:r w:rsidR="00282191">
              <w:rPr>
                <w:noProof/>
                <w:webHidden/>
              </w:rPr>
              <w:instrText xml:space="preserve"> PAGEREF _Toc414534271 \h </w:instrText>
            </w:r>
            <w:r w:rsidR="00282191">
              <w:rPr>
                <w:noProof/>
                <w:webHidden/>
              </w:rPr>
            </w:r>
            <w:r w:rsidR="00282191">
              <w:rPr>
                <w:noProof/>
                <w:webHidden/>
              </w:rPr>
              <w:fldChar w:fldCharType="separate"/>
            </w:r>
            <w:r w:rsidR="00282191">
              <w:rPr>
                <w:noProof/>
                <w:webHidden/>
              </w:rPr>
              <w:t>4</w:t>
            </w:r>
            <w:r w:rsidR="00282191">
              <w:rPr>
                <w:noProof/>
                <w:webHidden/>
              </w:rPr>
              <w:fldChar w:fldCharType="end"/>
            </w:r>
          </w:hyperlink>
        </w:p>
        <w:p w:rsidR="00282191" w:rsidRDefault="0064730F">
          <w:pPr>
            <w:pStyle w:val="TOC1"/>
            <w:tabs>
              <w:tab w:val="left" w:pos="440"/>
              <w:tab w:val="right" w:leader="dot" w:pos="9350"/>
            </w:tabs>
            <w:rPr>
              <w:noProof/>
            </w:rPr>
          </w:pPr>
          <w:hyperlink w:anchor="_Toc414534272" w:history="1">
            <w:r w:rsidR="00282191" w:rsidRPr="008A6135">
              <w:rPr>
                <w:rStyle w:val="Hyperlink"/>
                <w:rFonts w:ascii="Arial" w:hAnsi="Arial" w:cs="Arial"/>
                <w:noProof/>
              </w:rPr>
              <w:t>4.</w:t>
            </w:r>
            <w:r w:rsidR="00282191">
              <w:rPr>
                <w:noProof/>
              </w:rPr>
              <w:tab/>
            </w:r>
            <w:r w:rsidR="00282191" w:rsidRPr="008A6135">
              <w:rPr>
                <w:rStyle w:val="Hyperlink"/>
                <w:rFonts w:ascii="Arial" w:hAnsi="Arial" w:cs="Arial"/>
                <w:noProof/>
              </w:rPr>
              <w:t>Transitioning Early Action Forest Project Protocol Version 2.1 Conservation-Based Forest Management and 3.0, 3.1 &amp; 3.2 Improved Forest Management Projects</w:t>
            </w:r>
            <w:r w:rsidR="00282191">
              <w:rPr>
                <w:noProof/>
                <w:webHidden/>
              </w:rPr>
              <w:tab/>
            </w:r>
            <w:r w:rsidR="00282191">
              <w:rPr>
                <w:noProof/>
                <w:webHidden/>
              </w:rPr>
              <w:fldChar w:fldCharType="begin"/>
            </w:r>
            <w:r w:rsidR="00282191">
              <w:rPr>
                <w:noProof/>
                <w:webHidden/>
              </w:rPr>
              <w:instrText xml:space="preserve"> PAGEREF _Toc414534272 \h </w:instrText>
            </w:r>
            <w:r w:rsidR="00282191">
              <w:rPr>
                <w:noProof/>
                <w:webHidden/>
              </w:rPr>
            </w:r>
            <w:r w:rsidR="00282191">
              <w:rPr>
                <w:noProof/>
                <w:webHidden/>
              </w:rPr>
              <w:fldChar w:fldCharType="separate"/>
            </w:r>
            <w:r w:rsidR="00282191">
              <w:rPr>
                <w:noProof/>
                <w:webHidden/>
              </w:rPr>
              <w:t>5</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73" w:history="1">
            <w:r w:rsidR="00282191" w:rsidRPr="008A6135">
              <w:rPr>
                <w:rStyle w:val="Hyperlink"/>
                <w:rFonts w:ascii="Arial" w:hAnsi="Arial" w:cs="Arial"/>
                <w:noProof/>
              </w:rPr>
              <w:t>4.1.</w:t>
            </w:r>
            <w:r w:rsidR="00282191">
              <w:rPr>
                <w:noProof/>
              </w:rPr>
              <w:tab/>
            </w:r>
            <w:r w:rsidR="00282191" w:rsidRPr="008A6135">
              <w:rPr>
                <w:rStyle w:val="Hyperlink"/>
                <w:rFonts w:ascii="Arial" w:hAnsi="Arial" w:cs="Arial"/>
                <w:noProof/>
              </w:rPr>
              <w:t>High Stocking Reference</w:t>
            </w:r>
            <w:r w:rsidR="00282191">
              <w:rPr>
                <w:noProof/>
                <w:webHidden/>
              </w:rPr>
              <w:tab/>
            </w:r>
            <w:r w:rsidR="00282191">
              <w:rPr>
                <w:noProof/>
                <w:webHidden/>
              </w:rPr>
              <w:fldChar w:fldCharType="begin"/>
            </w:r>
            <w:r w:rsidR="00282191">
              <w:rPr>
                <w:noProof/>
                <w:webHidden/>
              </w:rPr>
              <w:instrText xml:space="preserve"> PAGEREF _Toc414534273 \h </w:instrText>
            </w:r>
            <w:r w:rsidR="00282191">
              <w:rPr>
                <w:noProof/>
                <w:webHidden/>
              </w:rPr>
            </w:r>
            <w:r w:rsidR="00282191">
              <w:rPr>
                <w:noProof/>
                <w:webHidden/>
              </w:rPr>
              <w:fldChar w:fldCharType="separate"/>
            </w:r>
            <w:r w:rsidR="00282191">
              <w:rPr>
                <w:noProof/>
                <w:webHidden/>
              </w:rPr>
              <w:t>6</w:t>
            </w:r>
            <w:r w:rsidR="00282191">
              <w:rPr>
                <w:noProof/>
                <w:webHidden/>
              </w:rPr>
              <w:fldChar w:fldCharType="end"/>
            </w:r>
          </w:hyperlink>
        </w:p>
        <w:p w:rsidR="00282191" w:rsidRDefault="0064730F">
          <w:pPr>
            <w:pStyle w:val="TOC3"/>
            <w:tabs>
              <w:tab w:val="left" w:pos="1320"/>
              <w:tab w:val="right" w:leader="dot" w:pos="9350"/>
            </w:tabs>
            <w:rPr>
              <w:noProof/>
            </w:rPr>
          </w:pPr>
          <w:hyperlink w:anchor="_Toc414534274" w:history="1">
            <w:r w:rsidR="00282191" w:rsidRPr="008A6135">
              <w:rPr>
                <w:rStyle w:val="Hyperlink"/>
                <w:rFonts w:ascii="Arial" w:hAnsi="Arial" w:cs="Arial"/>
                <w:noProof/>
              </w:rPr>
              <w:t>4.1.1.</w:t>
            </w:r>
            <w:r w:rsidR="00282191">
              <w:rPr>
                <w:noProof/>
              </w:rPr>
              <w:tab/>
            </w:r>
            <w:r w:rsidR="00282191" w:rsidRPr="008A6135">
              <w:rPr>
                <w:rStyle w:val="Hyperlink"/>
                <w:rFonts w:ascii="Arial" w:hAnsi="Arial" w:cs="Arial"/>
                <w:noProof/>
              </w:rPr>
              <w:t>Determining the HSR</w:t>
            </w:r>
            <w:r w:rsidR="00282191">
              <w:rPr>
                <w:noProof/>
                <w:webHidden/>
              </w:rPr>
              <w:tab/>
            </w:r>
            <w:r w:rsidR="00282191">
              <w:rPr>
                <w:noProof/>
                <w:webHidden/>
              </w:rPr>
              <w:fldChar w:fldCharType="begin"/>
            </w:r>
            <w:r w:rsidR="00282191">
              <w:rPr>
                <w:noProof/>
                <w:webHidden/>
              </w:rPr>
              <w:instrText xml:space="preserve"> PAGEREF _Toc414534274 \h </w:instrText>
            </w:r>
            <w:r w:rsidR="00282191">
              <w:rPr>
                <w:noProof/>
                <w:webHidden/>
              </w:rPr>
            </w:r>
            <w:r w:rsidR="00282191">
              <w:rPr>
                <w:noProof/>
                <w:webHidden/>
              </w:rPr>
              <w:fldChar w:fldCharType="separate"/>
            </w:r>
            <w:r w:rsidR="00282191">
              <w:rPr>
                <w:noProof/>
                <w:webHidden/>
              </w:rPr>
              <w:t>7</w:t>
            </w:r>
            <w:r w:rsidR="00282191">
              <w:rPr>
                <w:noProof/>
                <w:webHidden/>
              </w:rPr>
              <w:fldChar w:fldCharType="end"/>
            </w:r>
          </w:hyperlink>
        </w:p>
        <w:p w:rsidR="00282191" w:rsidRDefault="0064730F">
          <w:pPr>
            <w:pStyle w:val="TOC3"/>
            <w:tabs>
              <w:tab w:val="left" w:pos="1320"/>
              <w:tab w:val="right" w:leader="dot" w:pos="9350"/>
            </w:tabs>
            <w:rPr>
              <w:noProof/>
            </w:rPr>
          </w:pPr>
          <w:hyperlink w:anchor="_Toc414534275" w:history="1">
            <w:r w:rsidR="00282191" w:rsidRPr="008A6135">
              <w:rPr>
                <w:rStyle w:val="Hyperlink"/>
                <w:rFonts w:ascii="Arial" w:hAnsi="Arial" w:cs="Arial"/>
                <w:noProof/>
              </w:rPr>
              <w:t>4.1.2.</w:t>
            </w:r>
            <w:r w:rsidR="00282191">
              <w:rPr>
                <w:noProof/>
              </w:rPr>
              <w:tab/>
            </w:r>
            <w:r w:rsidR="00282191" w:rsidRPr="008A6135">
              <w:rPr>
                <w:rStyle w:val="Hyperlink"/>
                <w:rFonts w:ascii="Arial" w:hAnsi="Arial" w:cs="Arial"/>
                <w:noProof/>
              </w:rPr>
              <w:t>Determining the effect of the HSR on the project’s baseline</w:t>
            </w:r>
            <w:r w:rsidR="00282191">
              <w:rPr>
                <w:noProof/>
                <w:webHidden/>
              </w:rPr>
              <w:tab/>
            </w:r>
            <w:r w:rsidR="00282191">
              <w:rPr>
                <w:noProof/>
                <w:webHidden/>
              </w:rPr>
              <w:fldChar w:fldCharType="begin"/>
            </w:r>
            <w:r w:rsidR="00282191">
              <w:rPr>
                <w:noProof/>
                <w:webHidden/>
              </w:rPr>
              <w:instrText xml:space="preserve"> PAGEREF _Toc414534275 \h </w:instrText>
            </w:r>
            <w:r w:rsidR="00282191">
              <w:rPr>
                <w:noProof/>
                <w:webHidden/>
              </w:rPr>
            </w:r>
            <w:r w:rsidR="00282191">
              <w:rPr>
                <w:noProof/>
                <w:webHidden/>
              </w:rPr>
              <w:fldChar w:fldCharType="separate"/>
            </w:r>
            <w:r w:rsidR="00282191">
              <w:rPr>
                <w:noProof/>
                <w:webHidden/>
              </w:rPr>
              <w:t>9</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76" w:history="1">
            <w:r w:rsidR="00282191" w:rsidRPr="008A6135">
              <w:rPr>
                <w:rStyle w:val="Hyperlink"/>
                <w:rFonts w:ascii="Arial" w:hAnsi="Arial" w:cs="Arial"/>
                <w:noProof/>
              </w:rPr>
              <w:t>4.2.</w:t>
            </w:r>
            <w:r w:rsidR="00282191">
              <w:rPr>
                <w:noProof/>
              </w:rPr>
              <w:tab/>
            </w:r>
            <w:r w:rsidR="00282191" w:rsidRPr="008A6135">
              <w:rPr>
                <w:rStyle w:val="Hyperlink"/>
                <w:rFonts w:ascii="Arial" w:hAnsi="Arial" w:cs="Arial"/>
                <w:noProof/>
              </w:rPr>
              <w:t>Development of a Representative Commencement Date Inventory</w:t>
            </w:r>
            <w:r w:rsidR="00282191">
              <w:rPr>
                <w:noProof/>
                <w:webHidden/>
              </w:rPr>
              <w:tab/>
            </w:r>
            <w:r w:rsidR="00282191">
              <w:rPr>
                <w:noProof/>
                <w:webHidden/>
              </w:rPr>
              <w:fldChar w:fldCharType="begin"/>
            </w:r>
            <w:r w:rsidR="00282191">
              <w:rPr>
                <w:noProof/>
                <w:webHidden/>
              </w:rPr>
              <w:instrText xml:space="preserve"> PAGEREF _Toc414534276 \h </w:instrText>
            </w:r>
            <w:r w:rsidR="00282191">
              <w:rPr>
                <w:noProof/>
                <w:webHidden/>
              </w:rPr>
            </w:r>
            <w:r w:rsidR="00282191">
              <w:rPr>
                <w:noProof/>
                <w:webHidden/>
              </w:rPr>
              <w:fldChar w:fldCharType="separate"/>
            </w:r>
            <w:r w:rsidR="00282191">
              <w:rPr>
                <w:noProof/>
                <w:webHidden/>
              </w:rPr>
              <w:t>11</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77" w:history="1">
            <w:r w:rsidR="00282191" w:rsidRPr="008A6135">
              <w:rPr>
                <w:rStyle w:val="Hyperlink"/>
                <w:rFonts w:ascii="Arial" w:hAnsi="Arial" w:cs="Arial"/>
                <w:noProof/>
              </w:rPr>
              <w:t>4.3.</w:t>
            </w:r>
            <w:r w:rsidR="00282191">
              <w:rPr>
                <w:noProof/>
              </w:rPr>
              <w:tab/>
            </w:r>
            <w:r w:rsidR="00282191" w:rsidRPr="008A6135">
              <w:rPr>
                <w:rStyle w:val="Hyperlink"/>
                <w:rFonts w:ascii="Arial" w:hAnsi="Arial" w:cs="Arial"/>
                <w:noProof/>
              </w:rPr>
              <w:t>Develop a Compliance Protocol Baseline</w:t>
            </w:r>
            <w:r w:rsidR="00282191">
              <w:rPr>
                <w:noProof/>
                <w:webHidden/>
              </w:rPr>
              <w:tab/>
            </w:r>
            <w:r w:rsidR="00282191">
              <w:rPr>
                <w:noProof/>
                <w:webHidden/>
              </w:rPr>
              <w:fldChar w:fldCharType="begin"/>
            </w:r>
            <w:r w:rsidR="00282191">
              <w:rPr>
                <w:noProof/>
                <w:webHidden/>
              </w:rPr>
              <w:instrText xml:space="preserve"> PAGEREF _Toc414534277 \h </w:instrText>
            </w:r>
            <w:r w:rsidR="00282191">
              <w:rPr>
                <w:noProof/>
                <w:webHidden/>
              </w:rPr>
            </w:r>
            <w:r w:rsidR="00282191">
              <w:rPr>
                <w:noProof/>
                <w:webHidden/>
              </w:rPr>
              <w:fldChar w:fldCharType="separate"/>
            </w:r>
            <w:r w:rsidR="00282191">
              <w:rPr>
                <w:noProof/>
                <w:webHidden/>
              </w:rPr>
              <w:t>12</w:t>
            </w:r>
            <w:r w:rsidR="00282191">
              <w:rPr>
                <w:noProof/>
                <w:webHidden/>
              </w:rPr>
              <w:fldChar w:fldCharType="end"/>
            </w:r>
          </w:hyperlink>
        </w:p>
        <w:p w:rsidR="00282191" w:rsidRDefault="0064730F">
          <w:pPr>
            <w:pStyle w:val="TOC2"/>
            <w:tabs>
              <w:tab w:val="left" w:pos="880"/>
              <w:tab w:val="right" w:leader="dot" w:pos="9350"/>
            </w:tabs>
            <w:rPr>
              <w:noProof/>
            </w:rPr>
          </w:pPr>
          <w:hyperlink w:anchor="_Toc414534278" w:history="1">
            <w:r w:rsidR="00282191" w:rsidRPr="008A6135">
              <w:rPr>
                <w:rStyle w:val="Hyperlink"/>
                <w:rFonts w:ascii="Arial" w:hAnsi="Arial" w:cs="Arial"/>
                <w:noProof/>
              </w:rPr>
              <w:t>4.4.</w:t>
            </w:r>
            <w:r w:rsidR="00282191">
              <w:rPr>
                <w:noProof/>
              </w:rPr>
              <w:tab/>
            </w:r>
            <w:r w:rsidR="00282191" w:rsidRPr="008A6135">
              <w:rPr>
                <w:rStyle w:val="Hyperlink"/>
                <w:rFonts w:ascii="Arial" w:hAnsi="Arial" w:cs="Arial"/>
                <w:noProof/>
              </w:rPr>
              <w:t>Calculate the Credits Eligible under the Protocol</w:t>
            </w:r>
            <w:r w:rsidR="00282191">
              <w:rPr>
                <w:noProof/>
                <w:webHidden/>
              </w:rPr>
              <w:tab/>
            </w:r>
            <w:r w:rsidR="00282191">
              <w:rPr>
                <w:noProof/>
                <w:webHidden/>
              </w:rPr>
              <w:fldChar w:fldCharType="begin"/>
            </w:r>
            <w:r w:rsidR="00282191">
              <w:rPr>
                <w:noProof/>
                <w:webHidden/>
              </w:rPr>
              <w:instrText xml:space="preserve"> PAGEREF _Toc414534278 \h </w:instrText>
            </w:r>
            <w:r w:rsidR="00282191">
              <w:rPr>
                <w:noProof/>
                <w:webHidden/>
              </w:rPr>
            </w:r>
            <w:r w:rsidR="00282191">
              <w:rPr>
                <w:noProof/>
                <w:webHidden/>
              </w:rPr>
              <w:fldChar w:fldCharType="separate"/>
            </w:r>
            <w:r w:rsidR="00282191">
              <w:rPr>
                <w:noProof/>
                <w:webHidden/>
              </w:rPr>
              <w:t>13</w:t>
            </w:r>
            <w:r w:rsidR="00282191">
              <w:rPr>
                <w:noProof/>
                <w:webHidden/>
              </w:rPr>
              <w:fldChar w:fldCharType="end"/>
            </w:r>
          </w:hyperlink>
        </w:p>
        <w:p w:rsidR="00282191" w:rsidRDefault="0064730F">
          <w:pPr>
            <w:pStyle w:val="TOC1"/>
            <w:tabs>
              <w:tab w:val="left" w:pos="440"/>
              <w:tab w:val="right" w:leader="dot" w:pos="9350"/>
            </w:tabs>
            <w:rPr>
              <w:noProof/>
            </w:rPr>
          </w:pPr>
          <w:hyperlink w:anchor="_Toc414534279" w:history="1">
            <w:r w:rsidR="00282191" w:rsidRPr="008A6135">
              <w:rPr>
                <w:rStyle w:val="Hyperlink"/>
                <w:rFonts w:ascii="Arial" w:hAnsi="Arial" w:cs="Arial"/>
                <w:noProof/>
              </w:rPr>
              <w:t>5.</w:t>
            </w:r>
            <w:r w:rsidR="00282191">
              <w:rPr>
                <w:noProof/>
              </w:rPr>
              <w:tab/>
            </w:r>
            <w:r w:rsidR="00282191" w:rsidRPr="008A6135">
              <w:rPr>
                <w:rStyle w:val="Hyperlink"/>
                <w:rFonts w:ascii="Arial" w:hAnsi="Arial" w:cs="Arial"/>
                <w:noProof/>
              </w:rPr>
              <w:t>Transitioning Early Action Forest Project Protocol Version 3.x Reforestation Projects</w:t>
            </w:r>
            <w:r w:rsidR="00282191">
              <w:rPr>
                <w:noProof/>
                <w:webHidden/>
              </w:rPr>
              <w:tab/>
            </w:r>
            <w:r w:rsidR="00282191">
              <w:rPr>
                <w:noProof/>
                <w:webHidden/>
              </w:rPr>
              <w:fldChar w:fldCharType="begin"/>
            </w:r>
            <w:r w:rsidR="00282191">
              <w:rPr>
                <w:noProof/>
                <w:webHidden/>
              </w:rPr>
              <w:instrText xml:space="preserve"> PAGEREF _Toc414534279 \h </w:instrText>
            </w:r>
            <w:r w:rsidR="00282191">
              <w:rPr>
                <w:noProof/>
                <w:webHidden/>
              </w:rPr>
            </w:r>
            <w:r w:rsidR="00282191">
              <w:rPr>
                <w:noProof/>
                <w:webHidden/>
              </w:rPr>
              <w:fldChar w:fldCharType="separate"/>
            </w:r>
            <w:r w:rsidR="00282191">
              <w:rPr>
                <w:noProof/>
                <w:webHidden/>
              </w:rPr>
              <w:t>14</w:t>
            </w:r>
            <w:r w:rsidR="00282191">
              <w:rPr>
                <w:noProof/>
                <w:webHidden/>
              </w:rPr>
              <w:fldChar w:fldCharType="end"/>
            </w:r>
          </w:hyperlink>
        </w:p>
        <w:p w:rsidR="00282191" w:rsidRDefault="0064730F">
          <w:pPr>
            <w:pStyle w:val="TOC1"/>
            <w:tabs>
              <w:tab w:val="left" w:pos="440"/>
              <w:tab w:val="right" w:leader="dot" w:pos="9350"/>
            </w:tabs>
            <w:rPr>
              <w:noProof/>
            </w:rPr>
          </w:pPr>
          <w:hyperlink w:anchor="_Toc414534280" w:history="1">
            <w:r w:rsidR="00282191" w:rsidRPr="008A6135">
              <w:rPr>
                <w:rStyle w:val="Hyperlink"/>
                <w:rFonts w:ascii="Arial" w:hAnsi="Arial" w:cs="Arial"/>
                <w:noProof/>
              </w:rPr>
              <w:t>6.</w:t>
            </w:r>
            <w:r w:rsidR="00282191">
              <w:rPr>
                <w:noProof/>
              </w:rPr>
              <w:tab/>
            </w:r>
            <w:r w:rsidR="00282191" w:rsidRPr="008A6135">
              <w:rPr>
                <w:rStyle w:val="Hyperlink"/>
                <w:rFonts w:ascii="Arial" w:hAnsi="Arial" w:cs="Arial"/>
                <w:noProof/>
              </w:rPr>
              <w:t>Transitioning Early Action Forest Project Protocol Version 3.x Avoided Conversion Projects</w:t>
            </w:r>
            <w:r w:rsidR="00282191">
              <w:rPr>
                <w:noProof/>
                <w:webHidden/>
              </w:rPr>
              <w:tab/>
            </w:r>
            <w:r w:rsidR="00282191">
              <w:rPr>
                <w:noProof/>
                <w:webHidden/>
              </w:rPr>
              <w:fldChar w:fldCharType="begin"/>
            </w:r>
            <w:r w:rsidR="00282191">
              <w:rPr>
                <w:noProof/>
                <w:webHidden/>
              </w:rPr>
              <w:instrText xml:space="preserve"> PAGEREF _Toc414534280 \h </w:instrText>
            </w:r>
            <w:r w:rsidR="00282191">
              <w:rPr>
                <w:noProof/>
                <w:webHidden/>
              </w:rPr>
            </w:r>
            <w:r w:rsidR="00282191">
              <w:rPr>
                <w:noProof/>
                <w:webHidden/>
              </w:rPr>
              <w:fldChar w:fldCharType="separate"/>
            </w:r>
            <w:r w:rsidR="00282191">
              <w:rPr>
                <w:noProof/>
                <w:webHidden/>
              </w:rPr>
              <w:t>15</w:t>
            </w:r>
            <w:r w:rsidR="00282191">
              <w:rPr>
                <w:noProof/>
                <w:webHidden/>
              </w:rPr>
              <w:fldChar w:fldCharType="end"/>
            </w:r>
          </w:hyperlink>
        </w:p>
        <w:p w:rsidR="004D31D8" w:rsidRPr="007368C9" w:rsidRDefault="004D31D8" w:rsidP="008900EB">
          <w:pPr>
            <w:rPr>
              <w:rFonts w:ascii="Arial" w:hAnsi="Arial" w:cs="Arial"/>
              <w:sz w:val="24"/>
              <w:szCs w:val="24"/>
            </w:rPr>
          </w:pPr>
          <w:r w:rsidRPr="007368C9">
            <w:rPr>
              <w:rFonts w:ascii="Arial" w:hAnsi="Arial" w:cs="Arial"/>
              <w:sz w:val="24"/>
              <w:szCs w:val="24"/>
            </w:rPr>
            <w:fldChar w:fldCharType="end"/>
          </w:r>
        </w:p>
      </w:sdtContent>
    </w:sdt>
    <w:p w:rsidR="00AE05DE" w:rsidRPr="007368C9" w:rsidRDefault="00AE05DE" w:rsidP="008900EB">
      <w:pPr>
        <w:rPr>
          <w:rFonts w:ascii="Arial" w:hAnsi="Arial" w:cs="Arial"/>
          <w:sz w:val="24"/>
          <w:szCs w:val="24"/>
        </w:rPr>
        <w:sectPr w:rsidR="00AE05DE" w:rsidRPr="007368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7B205A" w:rsidRPr="007368C9" w:rsidRDefault="007B205A" w:rsidP="003928AD">
      <w:pPr>
        <w:pStyle w:val="Heading1"/>
        <w:numPr>
          <w:ilvl w:val="0"/>
          <w:numId w:val="1"/>
        </w:numPr>
        <w:rPr>
          <w:rFonts w:ascii="Arial" w:hAnsi="Arial" w:cs="Arial"/>
        </w:rPr>
      </w:pPr>
      <w:bookmarkStart w:id="1" w:name="_Toc414534267"/>
      <w:r w:rsidRPr="007368C9">
        <w:rPr>
          <w:rFonts w:ascii="Arial" w:hAnsi="Arial" w:cs="Arial"/>
        </w:rPr>
        <w:lastRenderedPageBreak/>
        <w:t>Introduction</w:t>
      </w:r>
      <w:bookmarkEnd w:id="1"/>
    </w:p>
    <w:p w:rsidR="00102424" w:rsidRPr="007368C9" w:rsidRDefault="00FD5A0C" w:rsidP="000F2EF3">
      <w:pPr>
        <w:rPr>
          <w:rFonts w:ascii="Arial" w:hAnsi="Arial" w:cs="Arial"/>
          <w:sz w:val="24"/>
          <w:szCs w:val="24"/>
        </w:rPr>
      </w:pPr>
      <w:r w:rsidRPr="007368C9">
        <w:rPr>
          <w:rFonts w:ascii="Arial" w:hAnsi="Arial" w:cs="Arial"/>
          <w:sz w:val="24"/>
          <w:szCs w:val="24"/>
        </w:rPr>
        <w:t>Section 95990(k)</w:t>
      </w:r>
      <w:r w:rsidR="00A3698F" w:rsidRPr="007368C9">
        <w:rPr>
          <w:rFonts w:ascii="Arial" w:hAnsi="Arial" w:cs="Arial"/>
          <w:sz w:val="24"/>
          <w:szCs w:val="24"/>
        </w:rPr>
        <w:t xml:space="preserve"> of the Cap-and-T</w:t>
      </w:r>
      <w:r w:rsidR="00EA37A7" w:rsidRPr="007368C9">
        <w:rPr>
          <w:rFonts w:ascii="Arial" w:hAnsi="Arial" w:cs="Arial"/>
          <w:sz w:val="24"/>
          <w:szCs w:val="24"/>
        </w:rPr>
        <w:t>rade Regulatio</w:t>
      </w:r>
      <w:r w:rsidR="00A3698F" w:rsidRPr="007368C9">
        <w:rPr>
          <w:rFonts w:ascii="Arial" w:hAnsi="Arial" w:cs="Arial"/>
          <w:sz w:val="24"/>
          <w:szCs w:val="24"/>
        </w:rPr>
        <w:t>n (Regulation) allows for the transition of early a</w:t>
      </w:r>
      <w:r w:rsidR="00EA37A7" w:rsidRPr="007368C9">
        <w:rPr>
          <w:rFonts w:ascii="Arial" w:hAnsi="Arial" w:cs="Arial"/>
          <w:sz w:val="24"/>
          <w:szCs w:val="24"/>
        </w:rPr>
        <w:t>ction</w:t>
      </w:r>
      <w:r w:rsidR="00A3698F" w:rsidRPr="007368C9">
        <w:rPr>
          <w:rFonts w:ascii="Arial" w:hAnsi="Arial" w:cs="Arial"/>
          <w:sz w:val="24"/>
          <w:szCs w:val="24"/>
        </w:rPr>
        <w:t xml:space="preserve"> offset p</w:t>
      </w:r>
      <w:r w:rsidRPr="007368C9">
        <w:rPr>
          <w:rFonts w:ascii="Arial" w:hAnsi="Arial" w:cs="Arial"/>
          <w:sz w:val="24"/>
          <w:szCs w:val="24"/>
        </w:rPr>
        <w:t>rojects</w:t>
      </w:r>
      <w:r w:rsidR="00A3698F" w:rsidRPr="007368C9">
        <w:rPr>
          <w:rFonts w:ascii="Arial" w:hAnsi="Arial" w:cs="Arial"/>
          <w:sz w:val="24"/>
          <w:szCs w:val="24"/>
        </w:rPr>
        <w:t xml:space="preserve"> </w:t>
      </w:r>
      <w:r w:rsidRPr="007368C9">
        <w:rPr>
          <w:rFonts w:ascii="Arial" w:hAnsi="Arial" w:cs="Arial"/>
          <w:sz w:val="24"/>
          <w:szCs w:val="24"/>
        </w:rPr>
        <w:t xml:space="preserve">to the </w:t>
      </w:r>
      <w:r w:rsidR="00773B26">
        <w:rPr>
          <w:rFonts w:ascii="Arial" w:hAnsi="Arial" w:cs="Arial"/>
          <w:sz w:val="24"/>
          <w:szCs w:val="24"/>
        </w:rPr>
        <w:t xml:space="preserve">applicable </w:t>
      </w:r>
      <w:r w:rsidRPr="007368C9">
        <w:rPr>
          <w:rFonts w:ascii="Arial" w:hAnsi="Arial" w:cs="Arial"/>
          <w:sz w:val="24"/>
          <w:szCs w:val="24"/>
        </w:rPr>
        <w:t>C</w:t>
      </w:r>
      <w:r w:rsidR="00EA37A7" w:rsidRPr="007368C9">
        <w:rPr>
          <w:rFonts w:ascii="Arial" w:hAnsi="Arial" w:cs="Arial"/>
          <w:sz w:val="24"/>
          <w:szCs w:val="24"/>
        </w:rPr>
        <w:t xml:space="preserve">ompliance </w:t>
      </w:r>
      <w:r w:rsidRPr="007368C9">
        <w:rPr>
          <w:rFonts w:ascii="Arial" w:hAnsi="Arial" w:cs="Arial"/>
          <w:sz w:val="24"/>
          <w:szCs w:val="24"/>
        </w:rPr>
        <w:t>O</w:t>
      </w:r>
      <w:r w:rsidR="00EA37A7" w:rsidRPr="007368C9">
        <w:rPr>
          <w:rFonts w:ascii="Arial" w:hAnsi="Arial" w:cs="Arial"/>
          <w:sz w:val="24"/>
          <w:szCs w:val="24"/>
        </w:rPr>
        <w:t>ffset</w:t>
      </w:r>
      <w:r w:rsidRPr="007368C9">
        <w:rPr>
          <w:rFonts w:ascii="Arial" w:hAnsi="Arial" w:cs="Arial"/>
          <w:sz w:val="24"/>
          <w:szCs w:val="24"/>
        </w:rPr>
        <w:t xml:space="preserve"> P</w:t>
      </w:r>
      <w:r w:rsidR="00EA37A7" w:rsidRPr="007368C9">
        <w:rPr>
          <w:rFonts w:ascii="Arial" w:hAnsi="Arial" w:cs="Arial"/>
          <w:sz w:val="24"/>
          <w:szCs w:val="24"/>
        </w:rPr>
        <w:t>ro</w:t>
      </w:r>
      <w:r w:rsidR="00F27C60" w:rsidRPr="007368C9">
        <w:rPr>
          <w:rFonts w:ascii="Arial" w:hAnsi="Arial" w:cs="Arial"/>
          <w:sz w:val="24"/>
          <w:szCs w:val="24"/>
        </w:rPr>
        <w:t>tocol</w:t>
      </w:r>
      <w:r w:rsidR="004820E6" w:rsidRPr="007368C9">
        <w:rPr>
          <w:rFonts w:ascii="Arial" w:hAnsi="Arial" w:cs="Arial"/>
          <w:sz w:val="24"/>
          <w:szCs w:val="24"/>
        </w:rPr>
        <w:t xml:space="preserve"> (COP)</w:t>
      </w:r>
      <w:r w:rsidR="00EA37A7" w:rsidRPr="007368C9">
        <w:rPr>
          <w:rFonts w:ascii="Arial" w:hAnsi="Arial" w:cs="Arial"/>
          <w:sz w:val="24"/>
          <w:szCs w:val="24"/>
        </w:rPr>
        <w:t xml:space="preserve">. </w:t>
      </w:r>
      <w:r w:rsidR="00C71383" w:rsidRPr="007368C9">
        <w:rPr>
          <w:rFonts w:ascii="Arial" w:hAnsi="Arial" w:cs="Arial"/>
          <w:sz w:val="24"/>
          <w:szCs w:val="24"/>
        </w:rPr>
        <w:t xml:space="preserve"> </w:t>
      </w:r>
      <w:r w:rsidR="008C0B90" w:rsidRPr="007368C9">
        <w:rPr>
          <w:rFonts w:ascii="Arial" w:hAnsi="Arial" w:cs="Arial"/>
          <w:sz w:val="24"/>
          <w:szCs w:val="24"/>
        </w:rPr>
        <w:t xml:space="preserve">The Regulation </w:t>
      </w:r>
      <w:r w:rsidRPr="007368C9">
        <w:rPr>
          <w:rFonts w:ascii="Arial" w:hAnsi="Arial" w:cs="Arial"/>
          <w:sz w:val="24"/>
          <w:szCs w:val="24"/>
        </w:rPr>
        <w:t xml:space="preserve">contains programmatic and quantification requirements that projects must adhere to in order to be eligible for transition to the </w:t>
      </w:r>
      <w:r w:rsidR="005A50E2" w:rsidRPr="007368C9">
        <w:rPr>
          <w:rFonts w:ascii="Arial" w:hAnsi="Arial" w:cs="Arial"/>
          <w:sz w:val="24"/>
          <w:szCs w:val="24"/>
        </w:rPr>
        <w:t>COP</w:t>
      </w:r>
      <w:r w:rsidRPr="007368C9">
        <w:rPr>
          <w:rFonts w:ascii="Arial" w:hAnsi="Arial" w:cs="Arial"/>
          <w:sz w:val="24"/>
          <w:szCs w:val="24"/>
        </w:rPr>
        <w:t>.</w:t>
      </w:r>
      <w:r w:rsidR="00C71383" w:rsidRPr="007368C9">
        <w:rPr>
          <w:rFonts w:ascii="Arial" w:hAnsi="Arial" w:cs="Arial"/>
          <w:sz w:val="24"/>
          <w:szCs w:val="24"/>
        </w:rPr>
        <w:t xml:space="preserve"> </w:t>
      </w:r>
      <w:r w:rsidRPr="007368C9">
        <w:rPr>
          <w:rFonts w:ascii="Arial" w:hAnsi="Arial" w:cs="Arial"/>
          <w:sz w:val="24"/>
          <w:szCs w:val="24"/>
        </w:rPr>
        <w:t xml:space="preserve"> </w:t>
      </w:r>
      <w:r w:rsidR="004820E6" w:rsidRPr="007368C9">
        <w:rPr>
          <w:rFonts w:ascii="Arial" w:hAnsi="Arial" w:cs="Arial"/>
          <w:sz w:val="24"/>
          <w:szCs w:val="24"/>
        </w:rPr>
        <w:t>This document provi</w:t>
      </w:r>
      <w:r w:rsidR="00102424" w:rsidRPr="007368C9">
        <w:rPr>
          <w:rFonts w:ascii="Arial" w:hAnsi="Arial" w:cs="Arial"/>
          <w:sz w:val="24"/>
          <w:szCs w:val="24"/>
        </w:rPr>
        <w:t>des guidance for transitioning early a</w:t>
      </w:r>
      <w:r w:rsidR="004820E6" w:rsidRPr="007368C9">
        <w:rPr>
          <w:rFonts w:ascii="Arial" w:hAnsi="Arial" w:cs="Arial"/>
          <w:sz w:val="24"/>
          <w:szCs w:val="24"/>
        </w:rPr>
        <w:t xml:space="preserve">ction </w:t>
      </w:r>
      <w:r w:rsidR="00102424" w:rsidRPr="007368C9">
        <w:rPr>
          <w:rFonts w:ascii="Arial" w:hAnsi="Arial" w:cs="Arial"/>
          <w:sz w:val="24"/>
          <w:szCs w:val="24"/>
        </w:rPr>
        <w:t>o</w:t>
      </w:r>
      <w:r w:rsidR="0015157F" w:rsidRPr="007368C9">
        <w:rPr>
          <w:rFonts w:ascii="Arial" w:hAnsi="Arial" w:cs="Arial"/>
          <w:sz w:val="24"/>
          <w:szCs w:val="24"/>
        </w:rPr>
        <w:t>ffset</w:t>
      </w:r>
      <w:r w:rsidR="00C71383" w:rsidRPr="007368C9">
        <w:rPr>
          <w:rFonts w:ascii="Arial" w:hAnsi="Arial" w:cs="Arial"/>
          <w:sz w:val="24"/>
          <w:szCs w:val="24"/>
        </w:rPr>
        <w:t xml:space="preserve"> </w:t>
      </w:r>
      <w:r w:rsidR="00102424" w:rsidRPr="007368C9">
        <w:rPr>
          <w:rFonts w:ascii="Arial" w:hAnsi="Arial" w:cs="Arial"/>
          <w:sz w:val="24"/>
          <w:szCs w:val="24"/>
        </w:rPr>
        <w:t>p</w:t>
      </w:r>
      <w:r w:rsidR="004820E6" w:rsidRPr="007368C9">
        <w:rPr>
          <w:rFonts w:ascii="Arial" w:hAnsi="Arial" w:cs="Arial"/>
          <w:sz w:val="24"/>
          <w:szCs w:val="24"/>
        </w:rPr>
        <w:t>rojects developed under the Climate Action Reserve’s</w:t>
      </w:r>
      <w:r w:rsidR="00467A3E" w:rsidRPr="007368C9">
        <w:rPr>
          <w:rFonts w:ascii="Arial" w:hAnsi="Arial" w:cs="Arial"/>
          <w:sz w:val="24"/>
          <w:szCs w:val="24"/>
        </w:rPr>
        <w:t xml:space="preserve"> (CAR)</w:t>
      </w:r>
      <w:r w:rsidR="004820E6" w:rsidRPr="007368C9">
        <w:rPr>
          <w:rFonts w:ascii="Arial" w:hAnsi="Arial" w:cs="Arial"/>
          <w:sz w:val="24"/>
          <w:szCs w:val="24"/>
        </w:rPr>
        <w:t xml:space="preserve"> Forest Project Protocol Versions 2.1, 3.0, 3.1 and 3.2.</w:t>
      </w:r>
      <w:r w:rsidR="00C71383" w:rsidRPr="007368C9">
        <w:rPr>
          <w:rFonts w:ascii="Arial" w:hAnsi="Arial" w:cs="Arial"/>
          <w:sz w:val="24"/>
          <w:szCs w:val="24"/>
        </w:rPr>
        <w:t xml:space="preserve"> </w:t>
      </w:r>
      <w:r w:rsidR="004820E6" w:rsidRPr="007368C9">
        <w:rPr>
          <w:rFonts w:ascii="Arial" w:hAnsi="Arial" w:cs="Arial"/>
          <w:sz w:val="24"/>
          <w:szCs w:val="24"/>
        </w:rPr>
        <w:t xml:space="preserve"> </w:t>
      </w:r>
    </w:p>
    <w:p w:rsidR="004820E6" w:rsidRPr="007368C9" w:rsidRDefault="00C71383" w:rsidP="000F2EF3">
      <w:pPr>
        <w:rPr>
          <w:rFonts w:ascii="Arial" w:hAnsi="Arial" w:cs="Arial"/>
          <w:sz w:val="24"/>
          <w:szCs w:val="24"/>
        </w:rPr>
      </w:pPr>
      <w:r w:rsidRPr="007368C9">
        <w:rPr>
          <w:rFonts w:ascii="Arial" w:hAnsi="Arial" w:cs="Arial"/>
          <w:sz w:val="24"/>
          <w:szCs w:val="24"/>
        </w:rPr>
        <w:t xml:space="preserve">The act of transitioning to the COP is the point that project crediting shifts from crediting </w:t>
      </w:r>
      <w:r w:rsidR="00102424" w:rsidRPr="007368C9">
        <w:rPr>
          <w:rFonts w:ascii="Arial" w:hAnsi="Arial" w:cs="Arial"/>
          <w:sz w:val="24"/>
          <w:szCs w:val="24"/>
        </w:rPr>
        <w:t>greenhouse gas (</w:t>
      </w:r>
      <w:r w:rsidRPr="007368C9">
        <w:rPr>
          <w:rFonts w:ascii="Arial" w:hAnsi="Arial" w:cs="Arial"/>
          <w:sz w:val="24"/>
          <w:szCs w:val="24"/>
        </w:rPr>
        <w:t>GHG</w:t>
      </w:r>
      <w:r w:rsidR="00102424" w:rsidRPr="007368C9">
        <w:rPr>
          <w:rFonts w:ascii="Arial" w:hAnsi="Arial" w:cs="Arial"/>
          <w:sz w:val="24"/>
          <w:szCs w:val="24"/>
        </w:rPr>
        <w:t>)</w:t>
      </w:r>
      <w:r w:rsidRPr="007368C9">
        <w:rPr>
          <w:rFonts w:ascii="Arial" w:hAnsi="Arial" w:cs="Arial"/>
          <w:sz w:val="24"/>
          <w:szCs w:val="24"/>
        </w:rPr>
        <w:t xml:space="preserve"> emission reductions and removal enhancements under the early action </w:t>
      </w:r>
      <w:r w:rsidR="00102424" w:rsidRPr="007368C9">
        <w:rPr>
          <w:rFonts w:ascii="Arial" w:hAnsi="Arial" w:cs="Arial"/>
          <w:sz w:val="24"/>
          <w:szCs w:val="24"/>
        </w:rPr>
        <w:t xml:space="preserve">offset </w:t>
      </w:r>
      <w:r w:rsidRPr="007368C9">
        <w:rPr>
          <w:rFonts w:ascii="Arial" w:hAnsi="Arial" w:cs="Arial"/>
          <w:sz w:val="24"/>
          <w:szCs w:val="24"/>
        </w:rPr>
        <w:t xml:space="preserve">protocol to crediting GHG emission reductions and removal enhancements under the </w:t>
      </w:r>
      <w:r w:rsidR="00102424" w:rsidRPr="007368C9">
        <w:rPr>
          <w:rFonts w:ascii="Arial" w:hAnsi="Arial" w:cs="Arial"/>
          <w:sz w:val="24"/>
          <w:szCs w:val="24"/>
        </w:rPr>
        <w:t>COP</w:t>
      </w:r>
      <w:r w:rsidRPr="007368C9">
        <w:rPr>
          <w:rFonts w:ascii="Arial" w:hAnsi="Arial" w:cs="Arial"/>
          <w:sz w:val="24"/>
          <w:szCs w:val="24"/>
        </w:rPr>
        <w:t xml:space="preserve">.  </w:t>
      </w:r>
    </w:p>
    <w:p w:rsidR="00D9617E" w:rsidRPr="007368C9" w:rsidRDefault="001E2CAC" w:rsidP="003928AD">
      <w:pPr>
        <w:pStyle w:val="Heading1"/>
        <w:numPr>
          <w:ilvl w:val="0"/>
          <w:numId w:val="1"/>
        </w:numPr>
        <w:rPr>
          <w:rFonts w:ascii="Arial" w:hAnsi="Arial" w:cs="Arial"/>
        </w:rPr>
      </w:pPr>
      <w:bookmarkStart w:id="2" w:name="_Toc414534268"/>
      <w:r w:rsidRPr="007368C9">
        <w:rPr>
          <w:rFonts w:ascii="Arial" w:hAnsi="Arial" w:cs="Arial"/>
        </w:rPr>
        <w:t xml:space="preserve">Important </w:t>
      </w:r>
      <w:r w:rsidR="004820E6" w:rsidRPr="007368C9">
        <w:rPr>
          <w:rFonts w:ascii="Arial" w:hAnsi="Arial" w:cs="Arial"/>
        </w:rPr>
        <w:t>Transition Timelines</w:t>
      </w:r>
      <w:bookmarkEnd w:id="2"/>
    </w:p>
    <w:p w:rsidR="00773B26" w:rsidRDefault="00FB4721" w:rsidP="000F2EF3">
      <w:pPr>
        <w:rPr>
          <w:rFonts w:ascii="Arial" w:hAnsi="Arial" w:cs="Arial"/>
          <w:sz w:val="24"/>
          <w:szCs w:val="24"/>
        </w:rPr>
      </w:pPr>
      <w:r>
        <w:rPr>
          <w:rFonts w:ascii="Arial" w:hAnsi="Arial" w:cs="Arial"/>
          <w:sz w:val="24"/>
          <w:szCs w:val="24"/>
        </w:rPr>
        <w:t>T</w:t>
      </w:r>
      <w:r w:rsidR="00773B26">
        <w:rPr>
          <w:rFonts w:ascii="Arial" w:hAnsi="Arial" w:cs="Arial"/>
          <w:sz w:val="24"/>
          <w:szCs w:val="24"/>
        </w:rPr>
        <w:t>ransition timelines are a</w:t>
      </w:r>
      <w:r w:rsidR="00773B26" w:rsidRPr="007368C9">
        <w:rPr>
          <w:rFonts w:ascii="Arial" w:hAnsi="Arial" w:cs="Arial"/>
          <w:sz w:val="24"/>
          <w:szCs w:val="24"/>
        </w:rPr>
        <w:t>pplicable to all early action offset protocol versions and projects</w:t>
      </w:r>
      <w:r w:rsidR="00773B26">
        <w:rPr>
          <w:rFonts w:ascii="Arial" w:hAnsi="Arial" w:cs="Arial"/>
          <w:sz w:val="24"/>
          <w:szCs w:val="24"/>
        </w:rPr>
        <w:t xml:space="preserve"> seeking to transition to the compliance offset program. </w:t>
      </w:r>
    </w:p>
    <w:p w:rsidR="008900EB" w:rsidRPr="007368C9" w:rsidRDefault="00DA68D2" w:rsidP="000F2EF3">
      <w:pPr>
        <w:rPr>
          <w:rFonts w:ascii="Arial" w:hAnsi="Arial" w:cs="Arial"/>
          <w:sz w:val="24"/>
          <w:szCs w:val="24"/>
        </w:rPr>
      </w:pPr>
      <w:r>
        <w:rPr>
          <w:rFonts w:ascii="Arial" w:hAnsi="Arial" w:cs="Arial"/>
          <w:sz w:val="24"/>
          <w:szCs w:val="24"/>
        </w:rPr>
        <w:t>The following are i</w:t>
      </w:r>
      <w:r w:rsidR="0015157F" w:rsidRPr="007368C9">
        <w:rPr>
          <w:rFonts w:ascii="Arial" w:hAnsi="Arial" w:cs="Arial"/>
          <w:sz w:val="24"/>
          <w:szCs w:val="24"/>
        </w:rPr>
        <w:t>mportant dates for</w:t>
      </w:r>
      <w:r w:rsidR="00F234CD" w:rsidRPr="007368C9">
        <w:rPr>
          <w:rFonts w:ascii="Arial" w:hAnsi="Arial" w:cs="Arial"/>
          <w:sz w:val="24"/>
          <w:szCs w:val="24"/>
        </w:rPr>
        <w:t xml:space="preserve"> </w:t>
      </w:r>
      <w:r w:rsidR="004E04A1" w:rsidRPr="007368C9">
        <w:rPr>
          <w:rFonts w:ascii="Arial" w:hAnsi="Arial" w:cs="Arial"/>
          <w:sz w:val="24"/>
          <w:szCs w:val="24"/>
        </w:rPr>
        <w:t xml:space="preserve">converting credits issued by an </w:t>
      </w:r>
      <w:r w:rsidR="00F0060E">
        <w:rPr>
          <w:rFonts w:ascii="Arial" w:hAnsi="Arial" w:cs="Arial"/>
          <w:sz w:val="24"/>
          <w:szCs w:val="24"/>
        </w:rPr>
        <w:t>E</w:t>
      </w:r>
      <w:r w:rsidR="004E04A1" w:rsidRPr="007368C9">
        <w:rPr>
          <w:rFonts w:ascii="Arial" w:hAnsi="Arial" w:cs="Arial"/>
          <w:sz w:val="24"/>
          <w:szCs w:val="24"/>
        </w:rPr>
        <w:t xml:space="preserve">arly </w:t>
      </w:r>
      <w:r w:rsidR="00F0060E">
        <w:rPr>
          <w:rFonts w:ascii="Arial" w:hAnsi="Arial" w:cs="Arial"/>
          <w:sz w:val="24"/>
          <w:szCs w:val="24"/>
        </w:rPr>
        <w:t>A</w:t>
      </w:r>
      <w:r w:rsidR="004E04A1" w:rsidRPr="007368C9">
        <w:rPr>
          <w:rFonts w:ascii="Arial" w:hAnsi="Arial" w:cs="Arial"/>
          <w:sz w:val="24"/>
          <w:szCs w:val="24"/>
        </w:rPr>
        <w:t xml:space="preserve">ction </w:t>
      </w:r>
      <w:r w:rsidR="00F0060E">
        <w:rPr>
          <w:rFonts w:ascii="Arial" w:hAnsi="Arial" w:cs="Arial"/>
          <w:sz w:val="24"/>
          <w:szCs w:val="24"/>
        </w:rPr>
        <w:t>O</w:t>
      </w:r>
      <w:r w:rsidR="004E04A1" w:rsidRPr="007368C9">
        <w:rPr>
          <w:rFonts w:ascii="Arial" w:hAnsi="Arial" w:cs="Arial"/>
          <w:sz w:val="24"/>
          <w:szCs w:val="24"/>
        </w:rPr>
        <w:t xml:space="preserve">ffset </w:t>
      </w:r>
      <w:r w:rsidR="00F0060E">
        <w:rPr>
          <w:rFonts w:ascii="Arial" w:hAnsi="Arial" w:cs="Arial"/>
          <w:sz w:val="24"/>
          <w:szCs w:val="24"/>
        </w:rPr>
        <w:t>P</w:t>
      </w:r>
      <w:r w:rsidR="004E04A1" w:rsidRPr="007368C9">
        <w:rPr>
          <w:rFonts w:ascii="Arial" w:hAnsi="Arial" w:cs="Arial"/>
          <w:sz w:val="24"/>
          <w:szCs w:val="24"/>
        </w:rPr>
        <w:t xml:space="preserve">rogram </w:t>
      </w:r>
      <w:r w:rsidR="00F0060E">
        <w:rPr>
          <w:rFonts w:ascii="Arial" w:hAnsi="Arial" w:cs="Arial"/>
          <w:sz w:val="24"/>
          <w:szCs w:val="24"/>
        </w:rPr>
        <w:t xml:space="preserve">(EAOP) </w:t>
      </w:r>
      <w:r w:rsidR="004E04A1" w:rsidRPr="007368C9">
        <w:rPr>
          <w:rFonts w:ascii="Arial" w:hAnsi="Arial" w:cs="Arial"/>
          <w:sz w:val="24"/>
          <w:szCs w:val="24"/>
        </w:rPr>
        <w:t xml:space="preserve">to ARB offset credits and </w:t>
      </w:r>
      <w:r w:rsidR="0015157F" w:rsidRPr="007368C9">
        <w:rPr>
          <w:rFonts w:ascii="Arial" w:hAnsi="Arial" w:cs="Arial"/>
          <w:sz w:val="24"/>
          <w:szCs w:val="24"/>
        </w:rPr>
        <w:t xml:space="preserve">transitioning early action </w:t>
      </w:r>
      <w:r w:rsidR="00102424" w:rsidRPr="007368C9">
        <w:rPr>
          <w:rFonts w:ascii="Arial" w:hAnsi="Arial" w:cs="Arial"/>
          <w:sz w:val="24"/>
          <w:szCs w:val="24"/>
        </w:rPr>
        <w:t xml:space="preserve">offset </w:t>
      </w:r>
      <w:r w:rsidR="0015157F" w:rsidRPr="007368C9">
        <w:rPr>
          <w:rFonts w:ascii="Arial" w:hAnsi="Arial" w:cs="Arial"/>
          <w:sz w:val="24"/>
          <w:szCs w:val="24"/>
        </w:rPr>
        <w:t>projects</w:t>
      </w:r>
      <w:r w:rsidR="002E67AC">
        <w:rPr>
          <w:rFonts w:ascii="Arial" w:hAnsi="Arial" w:cs="Arial"/>
          <w:sz w:val="24"/>
          <w:szCs w:val="24"/>
        </w:rPr>
        <w:t xml:space="preserve"> to the compliance offset p</w:t>
      </w:r>
      <w:r w:rsidR="004E04A1" w:rsidRPr="007368C9">
        <w:rPr>
          <w:rFonts w:ascii="Arial" w:hAnsi="Arial" w:cs="Arial"/>
          <w:sz w:val="24"/>
          <w:szCs w:val="24"/>
        </w:rPr>
        <w:t>rogram</w:t>
      </w:r>
      <w:r>
        <w:rPr>
          <w:rFonts w:ascii="Arial" w:hAnsi="Arial" w:cs="Arial"/>
          <w:sz w:val="24"/>
          <w:szCs w:val="24"/>
        </w:rPr>
        <w:t>. These dates are</w:t>
      </w:r>
      <w:r w:rsidR="0015157F" w:rsidRPr="007368C9">
        <w:rPr>
          <w:rFonts w:ascii="Arial" w:hAnsi="Arial" w:cs="Arial"/>
          <w:sz w:val="24"/>
          <w:szCs w:val="24"/>
        </w:rPr>
        <w:t>:</w:t>
      </w:r>
    </w:p>
    <w:p w:rsidR="00C8780A" w:rsidRPr="007368C9" w:rsidRDefault="00C8780A" w:rsidP="00332870">
      <w:pPr>
        <w:pStyle w:val="Heading2"/>
        <w:numPr>
          <w:ilvl w:val="1"/>
          <w:numId w:val="1"/>
        </w:numPr>
        <w:ind w:left="720" w:hanging="630"/>
        <w:rPr>
          <w:rFonts w:ascii="Arial" w:hAnsi="Arial" w:cs="Arial"/>
        </w:rPr>
      </w:pPr>
      <w:bookmarkStart w:id="3" w:name="_Toc414534269"/>
      <w:r w:rsidRPr="007368C9">
        <w:rPr>
          <w:rFonts w:ascii="Arial" w:hAnsi="Arial" w:cs="Arial"/>
        </w:rPr>
        <w:t xml:space="preserve">Converting </w:t>
      </w:r>
      <w:r w:rsidR="001C612B" w:rsidRPr="007368C9">
        <w:rPr>
          <w:rFonts w:ascii="Arial" w:hAnsi="Arial" w:cs="Arial"/>
        </w:rPr>
        <w:t>E</w:t>
      </w:r>
      <w:r w:rsidRPr="007368C9">
        <w:rPr>
          <w:rFonts w:ascii="Arial" w:hAnsi="Arial" w:cs="Arial"/>
        </w:rPr>
        <w:t xml:space="preserve">arly </w:t>
      </w:r>
      <w:r w:rsidR="001C612B" w:rsidRPr="007368C9">
        <w:rPr>
          <w:rFonts w:ascii="Arial" w:hAnsi="Arial" w:cs="Arial"/>
        </w:rPr>
        <w:t>A</w:t>
      </w:r>
      <w:r w:rsidRPr="007368C9">
        <w:rPr>
          <w:rFonts w:ascii="Arial" w:hAnsi="Arial" w:cs="Arial"/>
        </w:rPr>
        <w:t xml:space="preserve">ction </w:t>
      </w:r>
      <w:r w:rsidR="001C612B" w:rsidRPr="007368C9">
        <w:rPr>
          <w:rFonts w:ascii="Arial" w:hAnsi="Arial" w:cs="Arial"/>
        </w:rPr>
        <w:t>O</w:t>
      </w:r>
      <w:r w:rsidRPr="007368C9">
        <w:rPr>
          <w:rFonts w:ascii="Arial" w:hAnsi="Arial" w:cs="Arial"/>
        </w:rPr>
        <w:t xml:space="preserve">ffset </w:t>
      </w:r>
      <w:r w:rsidR="001C612B" w:rsidRPr="007368C9">
        <w:rPr>
          <w:rFonts w:ascii="Arial" w:hAnsi="Arial" w:cs="Arial"/>
        </w:rPr>
        <w:t>P</w:t>
      </w:r>
      <w:r w:rsidRPr="007368C9">
        <w:rPr>
          <w:rFonts w:ascii="Arial" w:hAnsi="Arial" w:cs="Arial"/>
        </w:rPr>
        <w:t xml:space="preserve">rogram </w:t>
      </w:r>
      <w:r w:rsidR="001C612B" w:rsidRPr="007368C9">
        <w:rPr>
          <w:rFonts w:ascii="Arial" w:hAnsi="Arial" w:cs="Arial"/>
        </w:rPr>
        <w:t xml:space="preserve">credits </w:t>
      </w:r>
      <w:r w:rsidRPr="007368C9">
        <w:rPr>
          <w:rFonts w:ascii="Arial" w:hAnsi="Arial" w:cs="Arial"/>
        </w:rPr>
        <w:t>to ARB offset credits</w:t>
      </w:r>
      <w:r w:rsidR="00F039F2">
        <w:rPr>
          <w:rStyle w:val="FootnoteReference"/>
          <w:rFonts w:ascii="Arial" w:hAnsi="Arial" w:cs="Arial"/>
        </w:rPr>
        <w:footnoteReference w:id="2"/>
      </w:r>
      <w:bookmarkEnd w:id="3"/>
      <w:r w:rsidRPr="007368C9">
        <w:rPr>
          <w:rFonts w:ascii="Arial" w:hAnsi="Arial" w:cs="Arial"/>
        </w:rPr>
        <w:t xml:space="preserve"> </w:t>
      </w:r>
      <w:r w:rsidR="004E6B39">
        <w:rPr>
          <w:rFonts w:ascii="Arial" w:hAnsi="Arial" w:cs="Arial"/>
        </w:rPr>
        <w:br/>
      </w:r>
    </w:p>
    <w:p w:rsidR="004E6B39" w:rsidRPr="004E6B39" w:rsidRDefault="00F234CD" w:rsidP="0024599F">
      <w:pPr>
        <w:pStyle w:val="ListParagraph"/>
        <w:numPr>
          <w:ilvl w:val="0"/>
          <w:numId w:val="2"/>
        </w:numPr>
        <w:ind w:left="720"/>
        <w:rPr>
          <w:rFonts w:ascii="Arial" w:hAnsi="Arial" w:cs="Arial"/>
          <w:sz w:val="24"/>
          <w:szCs w:val="24"/>
        </w:rPr>
      </w:pPr>
      <w:r w:rsidRPr="007368C9">
        <w:rPr>
          <w:rFonts w:ascii="Arial" w:hAnsi="Arial" w:cs="Arial"/>
          <w:sz w:val="24"/>
          <w:szCs w:val="24"/>
        </w:rPr>
        <w:t>Offset P</w:t>
      </w:r>
      <w:r w:rsidR="00567A02" w:rsidRPr="007368C9">
        <w:rPr>
          <w:rFonts w:ascii="Arial" w:hAnsi="Arial" w:cs="Arial"/>
          <w:sz w:val="24"/>
          <w:szCs w:val="24"/>
        </w:rPr>
        <w:t xml:space="preserve">roject </w:t>
      </w:r>
      <w:r w:rsidRPr="007368C9">
        <w:rPr>
          <w:rFonts w:ascii="Arial" w:hAnsi="Arial" w:cs="Arial"/>
          <w:sz w:val="24"/>
          <w:szCs w:val="24"/>
        </w:rPr>
        <w:t>O</w:t>
      </w:r>
      <w:r w:rsidR="00567A02" w:rsidRPr="007368C9">
        <w:rPr>
          <w:rFonts w:ascii="Arial" w:hAnsi="Arial" w:cs="Arial"/>
          <w:sz w:val="24"/>
          <w:szCs w:val="24"/>
        </w:rPr>
        <w:t xml:space="preserve">perators </w:t>
      </w:r>
      <w:r w:rsidRPr="007368C9">
        <w:rPr>
          <w:rFonts w:ascii="Arial" w:hAnsi="Arial" w:cs="Arial"/>
          <w:sz w:val="24"/>
          <w:szCs w:val="24"/>
        </w:rPr>
        <w:t xml:space="preserve">(OPOs) who </w:t>
      </w:r>
      <w:r w:rsidR="00567A02" w:rsidRPr="007368C9">
        <w:rPr>
          <w:rFonts w:ascii="Arial" w:hAnsi="Arial" w:cs="Arial"/>
          <w:sz w:val="24"/>
          <w:szCs w:val="24"/>
        </w:rPr>
        <w:t xml:space="preserve">wish to be issued early action offset credits and eventually convert those credits to ARB </w:t>
      </w:r>
      <w:r w:rsidR="00952A7A" w:rsidRPr="007368C9">
        <w:rPr>
          <w:rFonts w:ascii="Arial" w:hAnsi="Arial" w:cs="Arial"/>
          <w:sz w:val="24"/>
          <w:szCs w:val="24"/>
        </w:rPr>
        <w:t>o</w:t>
      </w:r>
      <w:r w:rsidR="00567A02" w:rsidRPr="007368C9">
        <w:rPr>
          <w:rFonts w:ascii="Arial" w:hAnsi="Arial" w:cs="Arial"/>
          <w:sz w:val="24"/>
          <w:szCs w:val="24"/>
        </w:rPr>
        <w:t>ffset credits must have listed their</w:t>
      </w:r>
      <w:r w:rsidR="00952A7A" w:rsidRPr="007368C9">
        <w:rPr>
          <w:rFonts w:ascii="Arial" w:hAnsi="Arial" w:cs="Arial"/>
          <w:sz w:val="24"/>
          <w:szCs w:val="24"/>
        </w:rPr>
        <w:t xml:space="preserve"> </w:t>
      </w:r>
      <w:r w:rsidR="00567A02" w:rsidRPr="007368C9">
        <w:rPr>
          <w:rFonts w:ascii="Arial" w:hAnsi="Arial" w:cs="Arial"/>
          <w:sz w:val="24"/>
          <w:szCs w:val="24"/>
        </w:rPr>
        <w:t xml:space="preserve">projects with an </w:t>
      </w:r>
      <w:r w:rsidR="00F0060E">
        <w:rPr>
          <w:rFonts w:ascii="Arial" w:hAnsi="Arial" w:cs="Arial"/>
          <w:sz w:val="24"/>
          <w:szCs w:val="24"/>
        </w:rPr>
        <w:t>EAOP</w:t>
      </w:r>
      <w:r w:rsidR="00567A02" w:rsidRPr="007368C9">
        <w:rPr>
          <w:rFonts w:ascii="Arial" w:hAnsi="Arial" w:cs="Arial"/>
          <w:sz w:val="24"/>
          <w:szCs w:val="24"/>
        </w:rPr>
        <w:t xml:space="preserve"> by </w:t>
      </w:r>
      <w:r w:rsidR="00567A02" w:rsidRPr="007368C9">
        <w:rPr>
          <w:rFonts w:ascii="Arial" w:hAnsi="Arial" w:cs="Arial"/>
          <w:b/>
          <w:sz w:val="24"/>
          <w:szCs w:val="24"/>
        </w:rPr>
        <w:t>January 1, 2014</w:t>
      </w:r>
      <w:r w:rsidR="00567A02" w:rsidRPr="007368C9">
        <w:rPr>
          <w:rFonts w:ascii="Arial" w:hAnsi="Arial" w:cs="Arial"/>
          <w:sz w:val="24"/>
          <w:szCs w:val="24"/>
        </w:rPr>
        <w:t xml:space="preserve">. </w:t>
      </w:r>
      <w:r w:rsidR="00B47277">
        <w:rPr>
          <w:rFonts w:ascii="Arial" w:hAnsi="Arial" w:cs="Arial"/>
          <w:sz w:val="24"/>
          <w:szCs w:val="24"/>
        </w:rPr>
        <w:t xml:space="preserve">17 CCR </w:t>
      </w:r>
      <w:r w:rsidR="00B47277" w:rsidRPr="00B47277">
        <w:rPr>
          <w:rFonts w:ascii="Arial" w:hAnsi="Arial" w:cs="Arial"/>
          <w:bCs/>
          <w:sz w:val="24"/>
          <w:szCs w:val="24"/>
          <w:lang w:val="en"/>
        </w:rPr>
        <w:t>§</w:t>
      </w:r>
      <w:r w:rsidR="00C84D5E">
        <w:rPr>
          <w:rFonts w:ascii="Arial" w:hAnsi="Arial" w:cs="Arial"/>
          <w:bCs/>
          <w:sz w:val="24"/>
          <w:szCs w:val="24"/>
          <w:lang w:val="en"/>
        </w:rPr>
        <w:t xml:space="preserve"> </w:t>
      </w:r>
      <w:r w:rsidR="00B47277" w:rsidRPr="00B47277">
        <w:rPr>
          <w:rFonts w:ascii="Arial" w:hAnsi="Arial" w:cs="Arial"/>
          <w:bCs/>
          <w:sz w:val="24"/>
          <w:szCs w:val="24"/>
          <w:lang w:val="en"/>
        </w:rPr>
        <w:t>95990</w:t>
      </w:r>
      <w:r w:rsidR="00B47277">
        <w:rPr>
          <w:rFonts w:ascii="Arial" w:hAnsi="Arial" w:cs="Arial"/>
          <w:bCs/>
          <w:sz w:val="24"/>
          <w:szCs w:val="24"/>
          <w:lang w:val="en"/>
        </w:rPr>
        <w:t>(c</w:t>
      </w:r>
      <w:proofErr w:type="gramStart"/>
      <w:r w:rsidR="00B47277">
        <w:rPr>
          <w:rFonts w:ascii="Arial" w:hAnsi="Arial" w:cs="Arial"/>
          <w:bCs/>
          <w:sz w:val="24"/>
          <w:szCs w:val="24"/>
          <w:lang w:val="en"/>
        </w:rPr>
        <w:t>)(</w:t>
      </w:r>
      <w:proofErr w:type="gramEnd"/>
      <w:r w:rsidR="00B47277">
        <w:rPr>
          <w:rFonts w:ascii="Arial" w:hAnsi="Arial" w:cs="Arial"/>
          <w:bCs/>
          <w:sz w:val="24"/>
          <w:szCs w:val="24"/>
          <w:lang w:val="en"/>
        </w:rPr>
        <w:t>3)(A)</w:t>
      </w:r>
      <w:r w:rsidR="00933BE4">
        <w:rPr>
          <w:rFonts w:ascii="Arial" w:hAnsi="Arial" w:cs="Arial"/>
          <w:bCs/>
          <w:sz w:val="24"/>
          <w:szCs w:val="24"/>
          <w:lang w:val="en"/>
        </w:rPr>
        <w:t>.</w:t>
      </w:r>
      <w:r w:rsidR="00C84D5E">
        <w:rPr>
          <w:rStyle w:val="FootnoteReference"/>
          <w:rFonts w:ascii="Arial" w:hAnsi="Arial" w:cs="Arial"/>
          <w:bCs/>
          <w:sz w:val="24"/>
          <w:szCs w:val="24"/>
          <w:lang w:val="en"/>
        </w:rPr>
        <w:footnoteReference w:id="3"/>
      </w:r>
    </w:p>
    <w:p w:rsidR="004E6B39" w:rsidRDefault="00660FC2" w:rsidP="0024599F">
      <w:pPr>
        <w:pStyle w:val="ListParagraph"/>
        <w:numPr>
          <w:ilvl w:val="0"/>
          <w:numId w:val="2"/>
        </w:numPr>
        <w:ind w:left="720"/>
        <w:rPr>
          <w:rFonts w:ascii="Arial" w:hAnsi="Arial" w:cs="Arial"/>
          <w:sz w:val="24"/>
          <w:szCs w:val="24"/>
        </w:rPr>
      </w:pPr>
      <w:r w:rsidRPr="00001AF3">
        <w:rPr>
          <w:rFonts w:ascii="Arial" w:hAnsi="Arial" w:cs="Arial"/>
          <w:sz w:val="24"/>
          <w:szCs w:val="24"/>
        </w:rPr>
        <w:t xml:space="preserve">Early action offset projects </w:t>
      </w:r>
      <w:r w:rsidR="00DA68D2" w:rsidRPr="00001AF3">
        <w:rPr>
          <w:rFonts w:ascii="Arial" w:hAnsi="Arial" w:cs="Arial"/>
          <w:sz w:val="24"/>
          <w:szCs w:val="24"/>
        </w:rPr>
        <w:t xml:space="preserve">were able to </w:t>
      </w:r>
      <w:r w:rsidRPr="00001AF3">
        <w:rPr>
          <w:rFonts w:ascii="Arial" w:hAnsi="Arial" w:cs="Arial"/>
          <w:sz w:val="24"/>
          <w:szCs w:val="24"/>
        </w:rPr>
        <w:t>continue to operate under approved early action quantification methodolog</w:t>
      </w:r>
      <w:r w:rsidR="00952A7A" w:rsidRPr="00CB207B">
        <w:rPr>
          <w:rFonts w:ascii="Arial" w:hAnsi="Arial" w:cs="Arial"/>
          <w:sz w:val="24"/>
          <w:szCs w:val="24"/>
        </w:rPr>
        <w:t>y</w:t>
      </w:r>
      <w:r w:rsidRPr="00CB207B">
        <w:rPr>
          <w:rFonts w:ascii="Arial" w:hAnsi="Arial" w:cs="Arial"/>
          <w:sz w:val="24"/>
          <w:szCs w:val="24"/>
        </w:rPr>
        <w:t xml:space="preserve"> until </w:t>
      </w:r>
      <w:r w:rsidRPr="00B76DFD">
        <w:rPr>
          <w:rFonts w:ascii="Arial" w:hAnsi="Arial" w:cs="Arial"/>
          <w:b/>
          <w:sz w:val="24"/>
          <w:szCs w:val="24"/>
        </w:rPr>
        <w:t>December 31, 2014</w:t>
      </w:r>
      <w:r w:rsidRPr="00B76DFD">
        <w:rPr>
          <w:rFonts w:ascii="Arial" w:hAnsi="Arial" w:cs="Arial"/>
          <w:sz w:val="24"/>
          <w:szCs w:val="24"/>
        </w:rPr>
        <w:t>.</w:t>
      </w:r>
      <w:r w:rsidR="00567A02" w:rsidRPr="00806521">
        <w:rPr>
          <w:rFonts w:ascii="Arial" w:hAnsi="Arial" w:cs="Arial"/>
          <w:sz w:val="24"/>
          <w:szCs w:val="24"/>
        </w:rPr>
        <w:t xml:space="preserve"> </w:t>
      </w:r>
      <w:r w:rsidR="00B47277" w:rsidRPr="00200797">
        <w:rPr>
          <w:rFonts w:ascii="Arial" w:hAnsi="Arial" w:cs="Arial"/>
          <w:sz w:val="24"/>
          <w:szCs w:val="24"/>
        </w:rPr>
        <w:t xml:space="preserve">17 CCR </w:t>
      </w:r>
      <w:r w:rsidR="00B47277" w:rsidRPr="00984566">
        <w:rPr>
          <w:rFonts w:ascii="Arial" w:hAnsi="Arial" w:cs="Arial"/>
          <w:bCs/>
          <w:sz w:val="24"/>
          <w:szCs w:val="24"/>
          <w:lang w:val="en"/>
        </w:rPr>
        <w:t>§</w:t>
      </w:r>
      <w:r w:rsidR="00C84D5E">
        <w:rPr>
          <w:rFonts w:ascii="Arial" w:hAnsi="Arial" w:cs="Arial"/>
          <w:bCs/>
          <w:sz w:val="24"/>
          <w:szCs w:val="24"/>
          <w:lang w:val="en"/>
        </w:rPr>
        <w:t xml:space="preserve">§ </w:t>
      </w:r>
      <w:r w:rsidR="00B47277" w:rsidRPr="00984566">
        <w:rPr>
          <w:rFonts w:ascii="Arial" w:hAnsi="Arial" w:cs="Arial"/>
          <w:bCs/>
          <w:sz w:val="24"/>
          <w:szCs w:val="24"/>
          <w:lang w:val="en"/>
        </w:rPr>
        <w:t>95990</w:t>
      </w:r>
      <w:r w:rsidR="00B47277" w:rsidRPr="009D3B4D">
        <w:rPr>
          <w:rFonts w:ascii="Arial" w:hAnsi="Arial" w:cs="Arial"/>
          <w:bCs/>
          <w:sz w:val="24"/>
          <w:szCs w:val="24"/>
          <w:lang w:val="en"/>
        </w:rPr>
        <w:t>(c)(1)</w:t>
      </w:r>
      <w:r w:rsidR="00001AF3">
        <w:rPr>
          <w:rFonts w:ascii="Arial" w:hAnsi="Arial" w:cs="Arial"/>
          <w:bCs/>
          <w:sz w:val="24"/>
          <w:szCs w:val="24"/>
          <w:lang w:val="en"/>
        </w:rPr>
        <w:t xml:space="preserve"> and </w:t>
      </w:r>
      <w:r w:rsidR="001C24C7" w:rsidRPr="00001AF3">
        <w:rPr>
          <w:rFonts w:ascii="Arial" w:hAnsi="Arial" w:cs="Arial"/>
          <w:bCs/>
          <w:sz w:val="24"/>
          <w:szCs w:val="24"/>
          <w:lang w:val="en"/>
        </w:rPr>
        <w:t>(h)(2)</w:t>
      </w:r>
      <w:r w:rsidR="00C84D5E">
        <w:rPr>
          <w:rFonts w:ascii="Arial" w:hAnsi="Arial" w:cs="Arial"/>
          <w:sz w:val="24"/>
          <w:szCs w:val="24"/>
        </w:rPr>
        <w:t>.</w:t>
      </w:r>
    </w:p>
    <w:p w:rsidR="00F234CD" w:rsidRPr="00B47277" w:rsidRDefault="00526D67" w:rsidP="0024599F">
      <w:pPr>
        <w:pStyle w:val="ListParagraph"/>
        <w:numPr>
          <w:ilvl w:val="0"/>
          <w:numId w:val="2"/>
        </w:numPr>
        <w:ind w:left="720"/>
        <w:rPr>
          <w:rFonts w:ascii="Arial" w:hAnsi="Arial" w:cs="Arial"/>
          <w:sz w:val="24"/>
          <w:szCs w:val="24"/>
        </w:rPr>
      </w:pPr>
      <w:r w:rsidRPr="00B47277">
        <w:rPr>
          <w:rFonts w:ascii="Arial" w:hAnsi="Arial" w:cs="Arial"/>
          <w:sz w:val="24"/>
          <w:szCs w:val="24"/>
        </w:rPr>
        <w:t xml:space="preserve">To be issued </w:t>
      </w:r>
      <w:r w:rsidR="002E67AC" w:rsidRPr="00B47277">
        <w:rPr>
          <w:rFonts w:ascii="Arial" w:hAnsi="Arial" w:cs="Arial"/>
          <w:sz w:val="24"/>
          <w:szCs w:val="24"/>
        </w:rPr>
        <w:t xml:space="preserve">ARB </w:t>
      </w:r>
      <w:r w:rsidRPr="00B47277">
        <w:rPr>
          <w:rFonts w:ascii="Arial" w:hAnsi="Arial" w:cs="Arial"/>
          <w:sz w:val="24"/>
          <w:szCs w:val="24"/>
        </w:rPr>
        <w:t>offset credits, all early action offset projects must complete verification</w:t>
      </w:r>
      <w:r w:rsidR="0054640C" w:rsidRPr="00B47277">
        <w:rPr>
          <w:rFonts w:ascii="Arial" w:hAnsi="Arial" w:cs="Arial"/>
          <w:sz w:val="24"/>
          <w:szCs w:val="24"/>
        </w:rPr>
        <w:t xml:space="preserve"> </w:t>
      </w:r>
      <w:r w:rsidR="002E67AC" w:rsidRPr="00B47277">
        <w:rPr>
          <w:rFonts w:ascii="Arial" w:hAnsi="Arial" w:cs="Arial"/>
          <w:sz w:val="24"/>
          <w:szCs w:val="24"/>
        </w:rPr>
        <w:t xml:space="preserve">under the </w:t>
      </w:r>
      <w:r w:rsidR="00F0060E">
        <w:rPr>
          <w:rFonts w:ascii="Arial" w:hAnsi="Arial" w:cs="Arial"/>
          <w:sz w:val="24"/>
          <w:szCs w:val="24"/>
        </w:rPr>
        <w:t>EAOP</w:t>
      </w:r>
      <w:r w:rsidR="002E67AC" w:rsidRPr="00B47277">
        <w:rPr>
          <w:rFonts w:ascii="Arial" w:hAnsi="Arial" w:cs="Arial"/>
          <w:sz w:val="24"/>
          <w:szCs w:val="24"/>
        </w:rPr>
        <w:t xml:space="preserve"> </w:t>
      </w:r>
      <w:r w:rsidRPr="00B47277">
        <w:rPr>
          <w:rFonts w:ascii="Arial" w:hAnsi="Arial" w:cs="Arial"/>
          <w:sz w:val="24"/>
          <w:szCs w:val="24"/>
        </w:rPr>
        <w:t xml:space="preserve">and </w:t>
      </w:r>
      <w:r w:rsidR="002E67AC" w:rsidRPr="00B47277">
        <w:rPr>
          <w:rFonts w:ascii="Arial" w:hAnsi="Arial" w:cs="Arial"/>
          <w:sz w:val="24"/>
          <w:szCs w:val="24"/>
        </w:rPr>
        <w:t xml:space="preserve">submit </w:t>
      </w:r>
      <w:r w:rsidRPr="00B47277">
        <w:rPr>
          <w:rFonts w:ascii="Arial" w:hAnsi="Arial" w:cs="Arial"/>
          <w:sz w:val="24"/>
          <w:szCs w:val="24"/>
        </w:rPr>
        <w:t xml:space="preserve">an Offset Verification Statement by </w:t>
      </w:r>
      <w:r w:rsidRPr="00B47277">
        <w:rPr>
          <w:rFonts w:ascii="Arial" w:hAnsi="Arial" w:cs="Arial"/>
          <w:b/>
          <w:sz w:val="24"/>
          <w:szCs w:val="24"/>
        </w:rPr>
        <w:t>September 30, 2015</w:t>
      </w:r>
      <w:r w:rsidRPr="00B47277">
        <w:rPr>
          <w:rFonts w:ascii="Arial" w:hAnsi="Arial" w:cs="Arial"/>
          <w:sz w:val="24"/>
          <w:szCs w:val="24"/>
        </w:rPr>
        <w:t>.</w:t>
      </w:r>
      <w:r w:rsidR="0054640C" w:rsidRPr="00B47277">
        <w:rPr>
          <w:rFonts w:ascii="Arial" w:hAnsi="Arial" w:cs="Arial"/>
          <w:sz w:val="24"/>
          <w:szCs w:val="24"/>
        </w:rPr>
        <w:t xml:space="preserve"> </w:t>
      </w:r>
      <w:r w:rsidR="00B47277" w:rsidRPr="00B47277">
        <w:rPr>
          <w:rFonts w:ascii="Arial" w:hAnsi="Arial" w:cs="Arial"/>
          <w:sz w:val="24"/>
          <w:szCs w:val="24"/>
        </w:rPr>
        <w:t xml:space="preserve">17 CCR </w:t>
      </w:r>
      <w:r w:rsidR="00B47277" w:rsidRPr="00B47277">
        <w:rPr>
          <w:rFonts w:ascii="Arial" w:hAnsi="Arial" w:cs="Arial"/>
          <w:bCs/>
          <w:sz w:val="24"/>
          <w:szCs w:val="24"/>
          <w:lang w:val="en"/>
        </w:rPr>
        <w:t>§</w:t>
      </w:r>
      <w:r w:rsidR="00C84D5E">
        <w:rPr>
          <w:rFonts w:ascii="Arial" w:hAnsi="Arial" w:cs="Arial"/>
          <w:bCs/>
          <w:sz w:val="24"/>
          <w:szCs w:val="24"/>
          <w:lang w:val="en"/>
        </w:rPr>
        <w:t xml:space="preserve"> </w:t>
      </w:r>
      <w:r w:rsidR="00B47277" w:rsidRPr="00B47277">
        <w:rPr>
          <w:rFonts w:ascii="Arial" w:hAnsi="Arial" w:cs="Arial"/>
          <w:bCs/>
          <w:sz w:val="24"/>
          <w:szCs w:val="24"/>
          <w:lang w:val="en"/>
        </w:rPr>
        <w:t>95990</w:t>
      </w:r>
      <w:r w:rsidR="00B47277">
        <w:rPr>
          <w:rFonts w:ascii="Arial" w:hAnsi="Arial" w:cs="Arial"/>
          <w:bCs/>
          <w:sz w:val="24"/>
          <w:szCs w:val="24"/>
          <w:lang w:val="en"/>
        </w:rPr>
        <w:t xml:space="preserve"> </w:t>
      </w:r>
      <w:r w:rsidR="00B47277" w:rsidRPr="00B47277">
        <w:rPr>
          <w:rFonts w:ascii="Arial" w:hAnsi="Arial" w:cs="Arial"/>
          <w:bCs/>
          <w:sz w:val="24"/>
          <w:szCs w:val="24"/>
          <w:lang w:val="en"/>
        </w:rPr>
        <w:t>(</w:t>
      </w:r>
      <w:r w:rsidR="001C24C7">
        <w:rPr>
          <w:rFonts w:ascii="Arial" w:hAnsi="Arial" w:cs="Arial"/>
          <w:bCs/>
          <w:sz w:val="24"/>
          <w:szCs w:val="24"/>
          <w:lang w:val="en"/>
        </w:rPr>
        <w:t>h)(3</w:t>
      </w:r>
      <w:r w:rsidR="00B47277" w:rsidRPr="00B47277">
        <w:rPr>
          <w:rFonts w:ascii="Arial" w:hAnsi="Arial" w:cs="Arial"/>
          <w:bCs/>
          <w:sz w:val="24"/>
          <w:szCs w:val="24"/>
          <w:lang w:val="en"/>
        </w:rPr>
        <w:t>)</w:t>
      </w:r>
      <w:r w:rsidR="00744120">
        <w:rPr>
          <w:rFonts w:ascii="Arial" w:hAnsi="Arial" w:cs="Arial"/>
          <w:bCs/>
          <w:sz w:val="24"/>
          <w:szCs w:val="24"/>
          <w:lang w:val="en"/>
        </w:rPr>
        <w:t>.</w:t>
      </w:r>
    </w:p>
    <w:p w:rsidR="00F234CD" w:rsidRPr="0024599F" w:rsidRDefault="00F0060E" w:rsidP="0024599F">
      <w:pPr>
        <w:pStyle w:val="ListParagraph"/>
        <w:numPr>
          <w:ilvl w:val="0"/>
          <w:numId w:val="2"/>
        </w:numPr>
        <w:ind w:left="720"/>
        <w:rPr>
          <w:rFonts w:ascii="Arial" w:hAnsi="Arial" w:cs="Arial"/>
          <w:sz w:val="24"/>
          <w:szCs w:val="24"/>
        </w:rPr>
      </w:pPr>
      <w:r>
        <w:rPr>
          <w:rFonts w:ascii="Arial" w:hAnsi="Arial" w:cs="Arial"/>
          <w:sz w:val="24"/>
          <w:szCs w:val="24"/>
        </w:rPr>
        <w:t>EAOPs</w:t>
      </w:r>
      <w:r w:rsidR="004F62E8" w:rsidRPr="007368C9">
        <w:rPr>
          <w:rFonts w:ascii="Arial" w:hAnsi="Arial" w:cs="Arial"/>
          <w:sz w:val="24"/>
          <w:szCs w:val="24"/>
        </w:rPr>
        <w:t xml:space="preserve"> must issue </w:t>
      </w:r>
      <w:r w:rsidR="000E3D1E" w:rsidRPr="007368C9">
        <w:rPr>
          <w:rFonts w:ascii="Arial" w:hAnsi="Arial" w:cs="Arial"/>
          <w:sz w:val="24"/>
          <w:szCs w:val="24"/>
        </w:rPr>
        <w:t xml:space="preserve">offset </w:t>
      </w:r>
      <w:r w:rsidR="004F62E8" w:rsidRPr="007368C9">
        <w:rPr>
          <w:rFonts w:ascii="Arial" w:hAnsi="Arial" w:cs="Arial"/>
          <w:sz w:val="24"/>
          <w:szCs w:val="24"/>
        </w:rPr>
        <w:t xml:space="preserve">credits by </w:t>
      </w:r>
      <w:r w:rsidR="002E67AC">
        <w:rPr>
          <w:rFonts w:ascii="Arial" w:hAnsi="Arial" w:cs="Arial"/>
          <w:b/>
          <w:sz w:val="24"/>
          <w:szCs w:val="24"/>
        </w:rPr>
        <w:t>January 1</w:t>
      </w:r>
      <w:r w:rsidR="006A4BF7" w:rsidRPr="007368C9">
        <w:rPr>
          <w:rFonts w:ascii="Arial" w:hAnsi="Arial" w:cs="Arial"/>
          <w:b/>
          <w:sz w:val="24"/>
          <w:szCs w:val="24"/>
        </w:rPr>
        <w:t>, 2016</w:t>
      </w:r>
      <w:r w:rsidR="000E3D1E" w:rsidRPr="007368C9">
        <w:rPr>
          <w:rFonts w:ascii="Arial" w:hAnsi="Arial" w:cs="Arial"/>
          <w:sz w:val="24"/>
          <w:szCs w:val="24"/>
        </w:rPr>
        <w:t xml:space="preserve"> for those </w:t>
      </w:r>
      <w:r w:rsidR="002E67AC">
        <w:rPr>
          <w:rFonts w:ascii="Arial" w:hAnsi="Arial" w:cs="Arial"/>
          <w:sz w:val="24"/>
          <w:szCs w:val="24"/>
        </w:rPr>
        <w:t>reporting periods to be eligible for ARB offset credits</w:t>
      </w:r>
      <w:r w:rsidR="006A4BF7" w:rsidRPr="007368C9">
        <w:rPr>
          <w:rFonts w:ascii="Arial" w:hAnsi="Arial" w:cs="Arial"/>
          <w:sz w:val="24"/>
          <w:szCs w:val="24"/>
        </w:rPr>
        <w:t xml:space="preserve">. </w:t>
      </w:r>
    </w:p>
    <w:p w:rsidR="00F234CD" w:rsidRPr="00D452E1" w:rsidRDefault="004F62E8" w:rsidP="0024599F">
      <w:pPr>
        <w:pStyle w:val="ListParagraph"/>
        <w:numPr>
          <w:ilvl w:val="0"/>
          <w:numId w:val="2"/>
        </w:numPr>
        <w:ind w:left="720"/>
        <w:rPr>
          <w:rFonts w:ascii="Arial" w:hAnsi="Arial" w:cs="Arial"/>
          <w:sz w:val="24"/>
          <w:szCs w:val="24"/>
        </w:rPr>
      </w:pPr>
      <w:r w:rsidRPr="00D452E1">
        <w:rPr>
          <w:rFonts w:ascii="Arial" w:hAnsi="Arial" w:cs="Arial"/>
          <w:sz w:val="24"/>
          <w:szCs w:val="24"/>
        </w:rPr>
        <w:lastRenderedPageBreak/>
        <w:t xml:space="preserve">Projects that have received early action offset credits must list any reporting period </w:t>
      </w:r>
      <w:r w:rsidR="00DA68D2" w:rsidRPr="00D452E1">
        <w:rPr>
          <w:rFonts w:ascii="Arial" w:hAnsi="Arial" w:cs="Arial"/>
          <w:sz w:val="24"/>
          <w:szCs w:val="24"/>
        </w:rPr>
        <w:t xml:space="preserve">for which </w:t>
      </w:r>
      <w:r w:rsidRPr="00D452E1">
        <w:rPr>
          <w:rFonts w:ascii="Arial" w:hAnsi="Arial" w:cs="Arial"/>
          <w:sz w:val="24"/>
          <w:szCs w:val="24"/>
        </w:rPr>
        <w:t xml:space="preserve">they wish to </w:t>
      </w:r>
      <w:r w:rsidR="006A5E7D" w:rsidRPr="00D452E1">
        <w:rPr>
          <w:rFonts w:ascii="Arial" w:hAnsi="Arial" w:cs="Arial"/>
          <w:sz w:val="24"/>
          <w:szCs w:val="24"/>
        </w:rPr>
        <w:t xml:space="preserve">have ARB offset credits issued </w:t>
      </w:r>
      <w:r w:rsidRPr="00D452E1">
        <w:rPr>
          <w:rFonts w:ascii="Arial" w:hAnsi="Arial" w:cs="Arial"/>
          <w:sz w:val="24"/>
          <w:szCs w:val="24"/>
        </w:rPr>
        <w:t xml:space="preserve">by </w:t>
      </w:r>
      <w:r w:rsidRPr="00D452E1">
        <w:rPr>
          <w:rFonts w:ascii="Arial" w:hAnsi="Arial" w:cs="Arial"/>
          <w:b/>
          <w:sz w:val="24"/>
          <w:szCs w:val="24"/>
        </w:rPr>
        <w:t>January 1, 2016</w:t>
      </w:r>
      <w:r w:rsidRPr="00D452E1">
        <w:rPr>
          <w:rFonts w:ascii="Arial" w:hAnsi="Arial" w:cs="Arial"/>
          <w:sz w:val="24"/>
          <w:szCs w:val="24"/>
        </w:rPr>
        <w:t xml:space="preserve">.  </w:t>
      </w:r>
      <w:r w:rsidR="000F6CE1" w:rsidRPr="00D452E1">
        <w:rPr>
          <w:rFonts w:ascii="Arial" w:hAnsi="Arial" w:cs="Arial"/>
          <w:sz w:val="24"/>
          <w:szCs w:val="24"/>
        </w:rPr>
        <w:t xml:space="preserve">17 CCR </w:t>
      </w:r>
      <w:r w:rsidR="000F6CE1" w:rsidRPr="00D452E1">
        <w:rPr>
          <w:rFonts w:ascii="Arial" w:hAnsi="Arial" w:cs="Arial"/>
          <w:bCs/>
          <w:sz w:val="24"/>
          <w:szCs w:val="24"/>
          <w:lang w:val="en"/>
        </w:rPr>
        <w:t>§</w:t>
      </w:r>
      <w:r w:rsidR="008C3F3C">
        <w:rPr>
          <w:rFonts w:ascii="Arial" w:hAnsi="Arial" w:cs="Arial"/>
          <w:bCs/>
          <w:sz w:val="24"/>
          <w:szCs w:val="24"/>
          <w:lang w:val="en"/>
        </w:rPr>
        <w:t xml:space="preserve"> </w:t>
      </w:r>
      <w:r w:rsidR="000F6CE1" w:rsidRPr="00D452E1">
        <w:rPr>
          <w:rFonts w:ascii="Arial" w:hAnsi="Arial" w:cs="Arial"/>
          <w:bCs/>
          <w:sz w:val="24"/>
          <w:szCs w:val="24"/>
          <w:lang w:val="en"/>
        </w:rPr>
        <w:t>95990(</w:t>
      </w:r>
      <w:r w:rsidR="00D452E1" w:rsidRPr="00D452E1">
        <w:rPr>
          <w:rFonts w:ascii="Arial" w:hAnsi="Arial" w:cs="Arial"/>
          <w:bCs/>
          <w:sz w:val="24"/>
          <w:szCs w:val="24"/>
          <w:lang w:val="en"/>
        </w:rPr>
        <w:t>e)(3)</w:t>
      </w:r>
      <w:r w:rsidR="00C84D5E">
        <w:rPr>
          <w:rFonts w:ascii="Arial" w:hAnsi="Arial" w:cs="Arial"/>
          <w:bCs/>
          <w:sz w:val="24"/>
          <w:szCs w:val="24"/>
          <w:lang w:val="en"/>
        </w:rPr>
        <w:t>.</w:t>
      </w:r>
    </w:p>
    <w:p w:rsidR="00660FC2" w:rsidRPr="007368C9" w:rsidRDefault="007166E6" w:rsidP="000F2EF3">
      <w:pPr>
        <w:pStyle w:val="ListParagraph"/>
        <w:numPr>
          <w:ilvl w:val="0"/>
          <w:numId w:val="2"/>
        </w:numPr>
        <w:ind w:left="720"/>
        <w:rPr>
          <w:rFonts w:ascii="Arial" w:hAnsi="Arial" w:cs="Arial"/>
          <w:sz w:val="24"/>
          <w:szCs w:val="24"/>
        </w:rPr>
      </w:pPr>
      <w:r w:rsidRPr="007368C9">
        <w:rPr>
          <w:rFonts w:ascii="Arial" w:hAnsi="Arial" w:cs="Arial"/>
          <w:sz w:val="24"/>
          <w:szCs w:val="24"/>
        </w:rPr>
        <w:t>The last date that ARB will issue ARB</w:t>
      </w:r>
      <w:r w:rsidR="00952A7A" w:rsidRPr="007368C9">
        <w:rPr>
          <w:rFonts w:ascii="Arial" w:hAnsi="Arial" w:cs="Arial"/>
          <w:sz w:val="24"/>
          <w:szCs w:val="24"/>
        </w:rPr>
        <w:t xml:space="preserve"> </w:t>
      </w:r>
      <w:r w:rsidRPr="007368C9">
        <w:rPr>
          <w:rFonts w:ascii="Arial" w:hAnsi="Arial" w:cs="Arial"/>
          <w:sz w:val="24"/>
          <w:szCs w:val="24"/>
        </w:rPr>
        <w:t xml:space="preserve">offset credits for </w:t>
      </w:r>
      <w:r w:rsidR="002E67AC">
        <w:rPr>
          <w:rFonts w:ascii="Arial" w:hAnsi="Arial" w:cs="Arial"/>
          <w:sz w:val="24"/>
          <w:szCs w:val="24"/>
        </w:rPr>
        <w:t xml:space="preserve">early action </w:t>
      </w:r>
      <w:r w:rsidRPr="007368C9">
        <w:rPr>
          <w:rFonts w:ascii="Arial" w:hAnsi="Arial" w:cs="Arial"/>
          <w:sz w:val="24"/>
          <w:szCs w:val="24"/>
        </w:rPr>
        <w:t>GHG reductions</w:t>
      </w:r>
      <w:r w:rsidR="000E3D1E" w:rsidRPr="007368C9">
        <w:rPr>
          <w:rFonts w:ascii="Arial" w:hAnsi="Arial" w:cs="Arial"/>
          <w:sz w:val="24"/>
          <w:szCs w:val="24"/>
        </w:rPr>
        <w:t>/</w:t>
      </w:r>
      <w:r w:rsidRPr="007368C9">
        <w:rPr>
          <w:rFonts w:ascii="Arial" w:hAnsi="Arial" w:cs="Arial"/>
          <w:sz w:val="24"/>
          <w:szCs w:val="24"/>
        </w:rPr>
        <w:t xml:space="preserve">removal enhancements achieved through 2014 is </w:t>
      </w:r>
      <w:r w:rsidRPr="007368C9">
        <w:rPr>
          <w:rFonts w:ascii="Arial" w:hAnsi="Arial" w:cs="Arial"/>
          <w:b/>
          <w:sz w:val="24"/>
          <w:szCs w:val="24"/>
        </w:rPr>
        <w:t>August 31, 2016</w:t>
      </w:r>
      <w:r w:rsidRPr="007368C9">
        <w:rPr>
          <w:rFonts w:ascii="Arial" w:hAnsi="Arial" w:cs="Arial"/>
          <w:sz w:val="24"/>
          <w:szCs w:val="24"/>
        </w:rPr>
        <w:t xml:space="preserve">.  </w:t>
      </w:r>
      <w:r w:rsidR="00554CB2" w:rsidRPr="00D452E1">
        <w:rPr>
          <w:rFonts w:ascii="Arial" w:hAnsi="Arial" w:cs="Arial"/>
          <w:sz w:val="24"/>
          <w:szCs w:val="24"/>
        </w:rPr>
        <w:t xml:space="preserve">  17 CCR </w:t>
      </w:r>
      <w:r w:rsidR="00554CB2" w:rsidRPr="00D452E1">
        <w:rPr>
          <w:rFonts w:ascii="Arial" w:hAnsi="Arial" w:cs="Arial"/>
          <w:bCs/>
          <w:sz w:val="24"/>
          <w:szCs w:val="24"/>
          <w:lang w:val="en"/>
        </w:rPr>
        <w:t>§</w:t>
      </w:r>
      <w:r w:rsidR="008C3F3C">
        <w:rPr>
          <w:rFonts w:ascii="Arial" w:hAnsi="Arial" w:cs="Arial"/>
          <w:bCs/>
          <w:sz w:val="24"/>
          <w:szCs w:val="24"/>
          <w:lang w:val="en"/>
        </w:rPr>
        <w:t xml:space="preserve"> </w:t>
      </w:r>
      <w:r w:rsidR="00554CB2" w:rsidRPr="00D452E1">
        <w:rPr>
          <w:rFonts w:ascii="Arial" w:hAnsi="Arial" w:cs="Arial"/>
          <w:bCs/>
          <w:sz w:val="24"/>
          <w:szCs w:val="24"/>
          <w:lang w:val="en"/>
        </w:rPr>
        <w:t>95990</w:t>
      </w:r>
      <w:r w:rsidR="00554CB2">
        <w:rPr>
          <w:rFonts w:ascii="Arial" w:hAnsi="Arial" w:cs="Arial"/>
          <w:bCs/>
          <w:sz w:val="24"/>
          <w:szCs w:val="24"/>
          <w:lang w:val="en"/>
        </w:rPr>
        <w:t>(k)(5)</w:t>
      </w:r>
      <w:r w:rsidR="00C84D5E">
        <w:rPr>
          <w:rFonts w:ascii="Arial" w:hAnsi="Arial" w:cs="Arial"/>
          <w:bCs/>
          <w:sz w:val="24"/>
          <w:szCs w:val="24"/>
          <w:lang w:val="en"/>
        </w:rPr>
        <w:t>.</w:t>
      </w:r>
    </w:p>
    <w:p w:rsidR="001E5948" w:rsidRPr="007368C9" w:rsidRDefault="001E5948" w:rsidP="00332870">
      <w:pPr>
        <w:pStyle w:val="Heading2"/>
        <w:numPr>
          <w:ilvl w:val="1"/>
          <w:numId w:val="1"/>
        </w:numPr>
        <w:ind w:left="810" w:hanging="720"/>
        <w:rPr>
          <w:rFonts w:ascii="Arial" w:hAnsi="Arial" w:cs="Arial"/>
        </w:rPr>
      </w:pPr>
      <w:bookmarkStart w:id="4" w:name="_Toc414534270"/>
      <w:r w:rsidRPr="007368C9">
        <w:rPr>
          <w:rFonts w:ascii="Arial" w:hAnsi="Arial" w:cs="Arial"/>
        </w:rPr>
        <w:t xml:space="preserve">Transitioning </w:t>
      </w:r>
      <w:r w:rsidR="005E43CE" w:rsidRPr="007368C9">
        <w:rPr>
          <w:rFonts w:ascii="Arial" w:hAnsi="Arial" w:cs="Arial"/>
        </w:rPr>
        <w:t>E</w:t>
      </w:r>
      <w:r w:rsidRPr="007368C9">
        <w:rPr>
          <w:rFonts w:ascii="Arial" w:hAnsi="Arial" w:cs="Arial"/>
        </w:rPr>
        <w:t xml:space="preserve">arly </w:t>
      </w:r>
      <w:r w:rsidR="005E43CE" w:rsidRPr="007368C9">
        <w:rPr>
          <w:rFonts w:ascii="Arial" w:hAnsi="Arial" w:cs="Arial"/>
        </w:rPr>
        <w:t>A</w:t>
      </w:r>
      <w:r w:rsidRPr="007368C9">
        <w:rPr>
          <w:rFonts w:ascii="Arial" w:hAnsi="Arial" w:cs="Arial"/>
        </w:rPr>
        <w:t xml:space="preserve">ction </w:t>
      </w:r>
      <w:r w:rsidR="005E43CE" w:rsidRPr="007368C9">
        <w:rPr>
          <w:rFonts w:ascii="Arial" w:hAnsi="Arial" w:cs="Arial"/>
        </w:rPr>
        <w:t>O</w:t>
      </w:r>
      <w:r w:rsidRPr="007368C9">
        <w:rPr>
          <w:rFonts w:ascii="Arial" w:hAnsi="Arial" w:cs="Arial"/>
        </w:rPr>
        <w:t xml:space="preserve">ffset </w:t>
      </w:r>
      <w:r w:rsidR="005E43CE" w:rsidRPr="007368C9">
        <w:rPr>
          <w:rFonts w:ascii="Arial" w:hAnsi="Arial" w:cs="Arial"/>
        </w:rPr>
        <w:t>P</w:t>
      </w:r>
      <w:r w:rsidRPr="007368C9">
        <w:rPr>
          <w:rFonts w:ascii="Arial" w:hAnsi="Arial" w:cs="Arial"/>
        </w:rPr>
        <w:t xml:space="preserve">rojects to </w:t>
      </w:r>
      <w:r w:rsidR="00CB1CBC" w:rsidRPr="007368C9">
        <w:rPr>
          <w:rFonts w:ascii="Arial" w:hAnsi="Arial" w:cs="Arial"/>
        </w:rPr>
        <w:t xml:space="preserve">ARB’s </w:t>
      </w:r>
      <w:r w:rsidRPr="007368C9">
        <w:rPr>
          <w:rFonts w:ascii="Arial" w:hAnsi="Arial" w:cs="Arial"/>
        </w:rPr>
        <w:t>Compliance Offset Program:</w:t>
      </w:r>
      <w:bookmarkEnd w:id="4"/>
      <w:r w:rsidR="00332870">
        <w:rPr>
          <w:rFonts w:ascii="Arial" w:hAnsi="Arial" w:cs="Arial"/>
        </w:rPr>
        <w:br/>
      </w:r>
    </w:p>
    <w:p w:rsidR="001E5948" w:rsidRPr="001C4D40" w:rsidRDefault="00E6152E" w:rsidP="00332870">
      <w:pPr>
        <w:pStyle w:val="FootnoteText"/>
        <w:numPr>
          <w:ilvl w:val="0"/>
          <w:numId w:val="15"/>
        </w:numPr>
        <w:tabs>
          <w:tab w:val="left" w:pos="3330"/>
        </w:tabs>
        <w:rPr>
          <w:rFonts w:ascii="Arial" w:hAnsi="Arial" w:cs="Arial"/>
        </w:rPr>
      </w:pPr>
      <w:r w:rsidRPr="007368C9">
        <w:rPr>
          <w:rFonts w:ascii="Arial" w:hAnsi="Arial" w:cs="Arial"/>
          <w:sz w:val="24"/>
          <w:szCs w:val="24"/>
        </w:rPr>
        <w:t>A</w:t>
      </w:r>
      <w:r w:rsidR="00660FC2" w:rsidRPr="007368C9">
        <w:rPr>
          <w:rFonts w:ascii="Arial" w:hAnsi="Arial" w:cs="Arial"/>
          <w:sz w:val="24"/>
          <w:szCs w:val="24"/>
        </w:rPr>
        <w:t xml:space="preserve">n </w:t>
      </w:r>
      <w:r w:rsidR="000E3D1E" w:rsidRPr="007368C9">
        <w:rPr>
          <w:rFonts w:ascii="Arial" w:hAnsi="Arial" w:cs="Arial"/>
          <w:sz w:val="24"/>
          <w:szCs w:val="24"/>
        </w:rPr>
        <w:t xml:space="preserve">OPO </w:t>
      </w:r>
      <w:r w:rsidR="00660FC2" w:rsidRPr="007368C9">
        <w:rPr>
          <w:rFonts w:ascii="Arial" w:hAnsi="Arial" w:cs="Arial"/>
          <w:sz w:val="24"/>
          <w:szCs w:val="24"/>
        </w:rPr>
        <w:t>wish</w:t>
      </w:r>
      <w:r w:rsidRPr="007368C9">
        <w:rPr>
          <w:rFonts w:ascii="Arial" w:hAnsi="Arial" w:cs="Arial"/>
          <w:sz w:val="24"/>
          <w:szCs w:val="24"/>
        </w:rPr>
        <w:t>ing</w:t>
      </w:r>
      <w:r w:rsidR="00660FC2" w:rsidRPr="007368C9">
        <w:rPr>
          <w:rFonts w:ascii="Arial" w:hAnsi="Arial" w:cs="Arial"/>
          <w:sz w:val="24"/>
          <w:szCs w:val="24"/>
        </w:rPr>
        <w:t xml:space="preserve"> to be issued ARB offset credits for </w:t>
      </w:r>
      <w:r w:rsidRPr="007368C9">
        <w:rPr>
          <w:rFonts w:ascii="Arial" w:hAnsi="Arial" w:cs="Arial"/>
          <w:sz w:val="24"/>
          <w:szCs w:val="24"/>
        </w:rPr>
        <w:t xml:space="preserve">GHG emission reductions or removal enhancements achieved after </w:t>
      </w:r>
      <w:r w:rsidRPr="007368C9">
        <w:rPr>
          <w:rFonts w:ascii="Arial" w:hAnsi="Arial" w:cs="Arial"/>
          <w:b/>
          <w:sz w:val="24"/>
          <w:szCs w:val="24"/>
        </w:rPr>
        <w:t>December 31, 2014</w:t>
      </w:r>
      <w:r w:rsidRPr="007368C9">
        <w:rPr>
          <w:rFonts w:ascii="Arial" w:hAnsi="Arial" w:cs="Arial"/>
          <w:sz w:val="24"/>
          <w:szCs w:val="24"/>
        </w:rPr>
        <w:t xml:space="preserve"> must </w:t>
      </w:r>
      <w:r w:rsidR="00773B26">
        <w:rPr>
          <w:rFonts w:ascii="Arial" w:hAnsi="Arial" w:cs="Arial"/>
          <w:sz w:val="24"/>
          <w:szCs w:val="24"/>
        </w:rPr>
        <w:t xml:space="preserve">have </w:t>
      </w:r>
      <w:r w:rsidR="006A5E7D" w:rsidRPr="007368C9">
        <w:rPr>
          <w:rFonts w:ascii="Arial" w:hAnsi="Arial" w:cs="Arial"/>
          <w:sz w:val="24"/>
          <w:szCs w:val="24"/>
        </w:rPr>
        <w:t>submit</w:t>
      </w:r>
      <w:r w:rsidR="00773B26">
        <w:rPr>
          <w:rFonts w:ascii="Arial" w:hAnsi="Arial" w:cs="Arial"/>
          <w:sz w:val="24"/>
          <w:szCs w:val="24"/>
        </w:rPr>
        <w:t>ted</w:t>
      </w:r>
      <w:r w:rsidR="006A5E7D" w:rsidRPr="007368C9">
        <w:rPr>
          <w:rFonts w:ascii="Arial" w:hAnsi="Arial" w:cs="Arial"/>
          <w:sz w:val="24"/>
          <w:szCs w:val="24"/>
        </w:rPr>
        <w:t xml:space="preserve"> listing information to an Offset Project Registry (OPR) and have</w:t>
      </w:r>
      <w:r w:rsidR="00744120">
        <w:rPr>
          <w:rFonts w:ascii="Arial" w:hAnsi="Arial" w:cs="Arial"/>
          <w:sz w:val="24"/>
          <w:szCs w:val="24"/>
        </w:rPr>
        <w:t xml:space="preserve"> had</w:t>
      </w:r>
      <w:r w:rsidR="006A5E7D" w:rsidRPr="007368C9">
        <w:rPr>
          <w:rFonts w:ascii="Arial" w:hAnsi="Arial" w:cs="Arial"/>
          <w:sz w:val="24"/>
          <w:szCs w:val="24"/>
        </w:rPr>
        <w:t xml:space="preserve"> their listing approved by the OPR no later than </w:t>
      </w:r>
      <w:r w:rsidR="006A5E7D" w:rsidRPr="007368C9">
        <w:rPr>
          <w:rFonts w:ascii="Arial" w:hAnsi="Arial" w:cs="Arial"/>
          <w:b/>
          <w:sz w:val="24"/>
          <w:szCs w:val="24"/>
        </w:rPr>
        <w:t>February 28, 2015</w:t>
      </w:r>
      <w:r w:rsidR="00554CB2">
        <w:rPr>
          <w:rFonts w:ascii="Arial" w:hAnsi="Arial" w:cs="Arial"/>
          <w:b/>
          <w:sz w:val="24"/>
          <w:szCs w:val="24"/>
        </w:rPr>
        <w:t xml:space="preserve"> </w:t>
      </w:r>
      <w:r w:rsidR="00554CB2" w:rsidRPr="00CB207B">
        <w:rPr>
          <w:rFonts w:ascii="Arial" w:hAnsi="Arial" w:cs="Arial"/>
          <w:sz w:val="24"/>
          <w:szCs w:val="24"/>
        </w:rPr>
        <w:t xml:space="preserve">17 CCR </w:t>
      </w:r>
      <w:r w:rsidR="008C3F3C">
        <w:rPr>
          <w:rFonts w:ascii="Arial" w:hAnsi="Arial" w:cs="Arial"/>
          <w:sz w:val="24"/>
          <w:szCs w:val="24"/>
        </w:rPr>
        <w:t xml:space="preserve">§ </w:t>
      </w:r>
      <w:r w:rsidR="00554CB2" w:rsidRPr="001C4D40">
        <w:rPr>
          <w:rFonts w:ascii="Arial" w:hAnsi="Arial" w:cs="Arial"/>
          <w:sz w:val="24"/>
          <w:szCs w:val="24"/>
        </w:rPr>
        <w:t>95990(k)(1)(D)</w:t>
      </w:r>
      <w:r w:rsidR="00C84D5E">
        <w:rPr>
          <w:rFonts w:ascii="Arial" w:hAnsi="Arial" w:cs="Arial"/>
          <w:sz w:val="24"/>
          <w:szCs w:val="24"/>
        </w:rPr>
        <w:t>.</w:t>
      </w:r>
    </w:p>
    <w:p w:rsidR="00933325" w:rsidRDefault="00BC7795" w:rsidP="00933325">
      <w:pPr>
        <w:pStyle w:val="ListParagraph"/>
        <w:numPr>
          <w:ilvl w:val="0"/>
          <w:numId w:val="3"/>
        </w:numPr>
        <w:ind w:left="720"/>
        <w:rPr>
          <w:rFonts w:ascii="Arial" w:hAnsi="Arial" w:cs="Arial"/>
          <w:sz w:val="24"/>
          <w:szCs w:val="24"/>
        </w:rPr>
      </w:pPr>
      <w:r w:rsidRPr="007368C9">
        <w:rPr>
          <w:rFonts w:ascii="Arial" w:hAnsi="Arial" w:cs="Arial"/>
          <w:sz w:val="24"/>
          <w:szCs w:val="24"/>
        </w:rPr>
        <w:t xml:space="preserve">Once the </w:t>
      </w:r>
      <w:r w:rsidR="00447D44">
        <w:rPr>
          <w:rFonts w:ascii="Arial" w:hAnsi="Arial" w:cs="Arial"/>
          <w:sz w:val="24"/>
          <w:szCs w:val="24"/>
        </w:rPr>
        <w:t>project begins to operate under the COP:</w:t>
      </w:r>
      <w:r w:rsidRPr="007368C9">
        <w:rPr>
          <w:rFonts w:ascii="Arial" w:hAnsi="Arial" w:cs="Arial"/>
          <w:sz w:val="24"/>
          <w:szCs w:val="24"/>
        </w:rPr>
        <w:t xml:space="preserve"> </w:t>
      </w:r>
    </w:p>
    <w:p w:rsidR="001E5948" w:rsidRPr="00933325" w:rsidRDefault="00447D44" w:rsidP="00933325">
      <w:pPr>
        <w:pStyle w:val="ListParagraph"/>
        <w:numPr>
          <w:ilvl w:val="1"/>
          <w:numId w:val="3"/>
        </w:numPr>
        <w:ind w:left="1080"/>
        <w:rPr>
          <w:rFonts w:ascii="Arial" w:hAnsi="Arial" w:cs="Arial"/>
          <w:sz w:val="24"/>
          <w:szCs w:val="24"/>
        </w:rPr>
      </w:pPr>
      <w:r w:rsidRPr="00933325">
        <w:rPr>
          <w:rFonts w:ascii="Arial" w:hAnsi="Arial" w:cs="Arial"/>
          <w:sz w:val="24"/>
          <w:szCs w:val="24"/>
        </w:rPr>
        <w:t>The</w:t>
      </w:r>
      <w:r w:rsidR="00933325">
        <w:rPr>
          <w:rFonts w:ascii="Arial" w:hAnsi="Arial" w:cs="Arial"/>
          <w:sz w:val="24"/>
          <w:szCs w:val="24"/>
        </w:rPr>
        <w:t xml:space="preserve"> project</w:t>
      </w:r>
      <w:r w:rsidR="0091652B" w:rsidRPr="00933325">
        <w:rPr>
          <w:rFonts w:ascii="Arial" w:hAnsi="Arial" w:cs="Arial"/>
          <w:sz w:val="24"/>
          <w:szCs w:val="24"/>
        </w:rPr>
        <w:t xml:space="preserve"> </w:t>
      </w:r>
      <w:r w:rsidR="005E73C4" w:rsidRPr="00933325">
        <w:rPr>
          <w:rFonts w:ascii="Arial" w:hAnsi="Arial" w:cs="Arial"/>
          <w:sz w:val="24"/>
          <w:szCs w:val="24"/>
        </w:rPr>
        <w:t xml:space="preserve">must meet all regulatory deadlines under the Cap-and-Trade Program. </w:t>
      </w:r>
    </w:p>
    <w:p w:rsidR="001E5948" w:rsidRPr="007368C9" w:rsidRDefault="00447D44" w:rsidP="000F2EF3">
      <w:pPr>
        <w:pStyle w:val="ListParagraph"/>
        <w:numPr>
          <w:ilvl w:val="1"/>
          <w:numId w:val="3"/>
        </w:numPr>
        <w:ind w:left="1080"/>
        <w:rPr>
          <w:rFonts w:ascii="Arial" w:hAnsi="Arial" w:cs="Arial"/>
          <w:sz w:val="24"/>
          <w:szCs w:val="24"/>
        </w:rPr>
      </w:pPr>
      <w:r>
        <w:rPr>
          <w:rFonts w:ascii="Arial" w:hAnsi="Arial" w:cs="Arial"/>
          <w:sz w:val="24"/>
          <w:szCs w:val="24"/>
        </w:rPr>
        <w:t xml:space="preserve">The </w:t>
      </w:r>
      <w:r w:rsidR="005E73C4" w:rsidRPr="007368C9">
        <w:rPr>
          <w:rFonts w:ascii="Arial" w:hAnsi="Arial" w:cs="Arial"/>
          <w:sz w:val="24"/>
          <w:szCs w:val="24"/>
        </w:rPr>
        <w:t xml:space="preserve">OPO must report a minimum of </w:t>
      </w:r>
      <w:r w:rsidR="0091652B" w:rsidRPr="007368C9">
        <w:rPr>
          <w:rFonts w:ascii="Arial" w:hAnsi="Arial" w:cs="Arial"/>
          <w:sz w:val="24"/>
          <w:szCs w:val="24"/>
        </w:rPr>
        <w:t>6</w:t>
      </w:r>
      <w:r w:rsidR="005E73C4" w:rsidRPr="007368C9">
        <w:rPr>
          <w:rFonts w:ascii="Arial" w:hAnsi="Arial" w:cs="Arial"/>
          <w:sz w:val="24"/>
          <w:szCs w:val="24"/>
        </w:rPr>
        <w:t xml:space="preserve"> months of </w:t>
      </w:r>
      <w:r w:rsidR="001E5948" w:rsidRPr="007368C9">
        <w:rPr>
          <w:rFonts w:ascii="Arial" w:hAnsi="Arial" w:cs="Arial"/>
          <w:sz w:val="24"/>
          <w:szCs w:val="24"/>
        </w:rPr>
        <w:t xml:space="preserve">offset project </w:t>
      </w:r>
      <w:r w:rsidR="005E73C4" w:rsidRPr="007368C9">
        <w:rPr>
          <w:rFonts w:ascii="Arial" w:hAnsi="Arial" w:cs="Arial"/>
          <w:sz w:val="24"/>
          <w:szCs w:val="24"/>
        </w:rPr>
        <w:t xml:space="preserve">data and a maximum of </w:t>
      </w:r>
      <w:r w:rsidR="0091652B" w:rsidRPr="007368C9">
        <w:rPr>
          <w:rFonts w:ascii="Arial" w:hAnsi="Arial" w:cs="Arial"/>
          <w:sz w:val="24"/>
          <w:szCs w:val="24"/>
        </w:rPr>
        <w:t xml:space="preserve">24 </w:t>
      </w:r>
      <w:r w:rsidR="005E73C4" w:rsidRPr="007368C9">
        <w:rPr>
          <w:rFonts w:ascii="Arial" w:hAnsi="Arial" w:cs="Arial"/>
          <w:sz w:val="24"/>
          <w:szCs w:val="24"/>
        </w:rPr>
        <w:t>months of data for the initial reporting period</w:t>
      </w:r>
      <w:r w:rsidR="00744120">
        <w:rPr>
          <w:rFonts w:ascii="Arial" w:hAnsi="Arial" w:cs="Arial"/>
          <w:sz w:val="24"/>
          <w:szCs w:val="24"/>
        </w:rPr>
        <w:t>.</w:t>
      </w:r>
    </w:p>
    <w:p w:rsidR="001E5948" w:rsidRPr="007368C9" w:rsidRDefault="00447D44" w:rsidP="000F2EF3">
      <w:pPr>
        <w:pStyle w:val="ListParagraph"/>
        <w:numPr>
          <w:ilvl w:val="1"/>
          <w:numId w:val="3"/>
        </w:numPr>
        <w:ind w:left="1080"/>
        <w:rPr>
          <w:rFonts w:ascii="Arial" w:hAnsi="Arial" w:cs="Arial"/>
          <w:sz w:val="24"/>
          <w:szCs w:val="24"/>
        </w:rPr>
      </w:pPr>
      <w:r>
        <w:rPr>
          <w:rFonts w:ascii="Arial" w:hAnsi="Arial" w:cs="Arial"/>
          <w:sz w:val="24"/>
          <w:szCs w:val="24"/>
        </w:rPr>
        <w:t xml:space="preserve">The </w:t>
      </w:r>
      <w:r w:rsidR="0091652B" w:rsidRPr="007368C9">
        <w:rPr>
          <w:rFonts w:ascii="Arial" w:hAnsi="Arial" w:cs="Arial"/>
          <w:sz w:val="24"/>
          <w:szCs w:val="24"/>
        </w:rPr>
        <w:t xml:space="preserve">OPO must submit </w:t>
      </w:r>
      <w:r>
        <w:rPr>
          <w:rFonts w:ascii="Arial" w:hAnsi="Arial" w:cs="Arial"/>
          <w:sz w:val="24"/>
          <w:szCs w:val="24"/>
        </w:rPr>
        <w:t>the</w:t>
      </w:r>
      <w:r w:rsidR="0091652B" w:rsidRPr="007368C9">
        <w:rPr>
          <w:rFonts w:ascii="Arial" w:hAnsi="Arial" w:cs="Arial"/>
          <w:sz w:val="24"/>
          <w:szCs w:val="24"/>
        </w:rPr>
        <w:t xml:space="preserve"> initial Offset Project Data Report </w:t>
      </w:r>
      <w:r w:rsidR="00BC469E">
        <w:rPr>
          <w:rFonts w:ascii="Arial" w:hAnsi="Arial" w:cs="Arial"/>
          <w:sz w:val="24"/>
          <w:szCs w:val="24"/>
        </w:rPr>
        <w:t xml:space="preserve">(OPDR) </w:t>
      </w:r>
      <w:r w:rsidR="0091652B" w:rsidRPr="007368C9">
        <w:rPr>
          <w:rFonts w:ascii="Arial" w:hAnsi="Arial" w:cs="Arial"/>
          <w:sz w:val="24"/>
          <w:szCs w:val="24"/>
        </w:rPr>
        <w:t xml:space="preserve">no later than 24 months from the </w:t>
      </w:r>
      <w:r w:rsidR="005E73C4" w:rsidRPr="007368C9">
        <w:rPr>
          <w:rFonts w:ascii="Arial" w:hAnsi="Arial" w:cs="Arial"/>
          <w:sz w:val="24"/>
          <w:szCs w:val="24"/>
        </w:rPr>
        <w:t xml:space="preserve">project’s </w:t>
      </w:r>
      <w:r w:rsidR="0091652B" w:rsidRPr="007368C9">
        <w:rPr>
          <w:rFonts w:ascii="Arial" w:hAnsi="Arial" w:cs="Arial"/>
          <w:sz w:val="24"/>
          <w:szCs w:val="24"/>
        </w:rPr>
        <w:t xml:space="preserve">listing date. </w:t>
      </w:r>
    </w:p>
    <w:p w:rsidR="00BC7795" w:rsidRDefault="0091652B" w:rsidP="000F2EF3">
      <w:pPr>
        <w:pStyle w:val="ListParagraph"/>
        <w:numPr>
          <w:ilvl w:val="1"/>
          <w:numId w:val="3"/>
        </w:numPr>
        <w:ind w:left="1080"/>
        <w:rPr>
          <w:rFonts w:ascii="Arial" w:hAnsi="Arial" w:cs="Arial"/>
          <w:sz w:val="24"/>
          <w:szCs w:val="24"/>
        </w:rPr>
      </w:pPr>
      <w:r w:rsidRPr="007368C9">
        <w:rPr>
          <w:rFonts w:ascii="Arial" w:hAnsi="Arial" w:cs="Arial"/>
          <w:sz w:val="24"/>
          <w:szCs w:val="24"/>
        </w:rPr>
        <w:t xml:space="preserve">The OPDR must be submitted </w:t>
      </w:r>
      <w:r w:rsidR="00933325">
        <w:rPr>
          <w:rFonts w:ascii="Arial" w:hAnsi="Arial" w:cs="Arial"/>
          <w:sz w:val="24"/>
          <w:szCs w:val="24"/>
        </w:rPr>
        <w:t>within</w:t>
      </w:r>
      <w:r w:rsidRPr="007368C9">
        <w:rPr>
          <w:rFonts w:ascii="Arial" w:hAnsi="Arial" w:cs="Arial"/>
          <w:sz w:val="24"/>
          <w:szCs w:val="24"/>
        </w:rPr>
        <w:t xml:space="preserve"> 4 months after the last day of the reporting period covered by the OPDR. </w:t>
      </w:r>
    </w:p>
    <w:p w:rsidR="00933325" w:rsidRPr="007368C9" w:rsidRDefault="00933325" w:rsidP="000F2EF3">
      <w:pPr>
        <w:pStyle w:val="ListParagraph"/>
        <w:numPr>
          <w:ilvl w:val="1"/>
          <w:numId w:val="3"/>
        </w:numPr>
        <w:ind w:left="1080"/>
        <w:rPr>
          <w:rFonts w:ascii="Arial" w:hAnsi="Arial" w:cs="Arial"/>
          <w:sz w:val="24"/>
          <w:szCs w:val="24"/>
        </w:rPr>
      </w:pPr>
      <w:r>
        <w:rPr>
          <w:rFonts w:ascii="Arial" w:hAnsi="Arial" w:cs="Arial"/>
          <w:sz w:val="24"/>
          <w:szCs w:val="24"/>
        </w:rPr>
        <w:t>The Offset Verification Statement must be submitted within 11 months after the last day of the reporting period covered by the OPDR</w:t>
      </w:r>
      <w:r w:rsidR="00744120">
        <w:rPr>
          <w:rFonts w:ascii="Arial" w:hAnsi="Arial" w:cs="Arial"/>
          <w:sz w:val="24"/>
          <w:szCs w:val="24"/>
        </w:rPr>
        <w:t>.</w:t>
      </w:r>
      <w:r w:rsidR="00BF5DEA">
        <w:rPr>
          <w:rStyle w:val="FootnoteReference"/>
          <w:rFonts w:ascii="Arial" w:hAnsi="Arial" w:cs="Arial"/>
          <w:sz w:val="24"/>
          <w:szCs w:val="24"/>
        </w:rPr>
        <w:footnoteReference w:id="4"/>
      </w:r>
    </w:p>
    <w:p w:rsidR="00BC7795" w:rsidRPr="007368C9" w:rsidRDefault="00BC7795" w:rsidP="003928AD">
      <w:pPr>
        <w:pStyle w:val="Heading1"/>
        <w:numPr>
          <w:ilvl w:val="0"/>
          <w:numId w:val="1"/>
        </w:numPr>
        <w:rPr>
          <w:rFonts w:ascii="Arial" w:hAnsi="Arial" w:cs="Arial"/>
        </w:rPr>
      </w:pPr>
      <w:bookmarkStart w:id="5" w:name="_Toc414534271"/>
      <w:r w:rsidRPr="007368C9">
        <w:rPr>
          <w:rFonts w:ascii="Arial" w:hAnsi="Arial" w:cs="Arial"/>
        </w:rPr>
        <w:t xml:space="preserve">Transition </w:t>
      </w:r>
      <w:r w:rsidR="00D549BB" w:rsidRPr="007368C9">
        <w:rPr>
          <w:rFonts w:ascii="Arial" w:hAnsi="Arial" w:cs="Arial"/>
        </w:rPr>
        <w:t>Date</w:t>
      </w:r>
      <w:bookmarkEnd w:id="5"/>
      <w:r w:rsidR="00D549BB" w:rsidRPr="007368C9">
        <w:rPr>
          <w:rFonts w:ascii="Arial" w:hAnsi="Arial" w:cs="Arial"/>
        </w:rPr>
        <w:t xml:space="preserve"> </w:t>
      </w:r>
    </w:p>
    <w:p w:rsidR="00773B26" w:rsidRPr="00451798" w:rsidRDefault="00773B26" w:rsidP="00451798">
      <w:pPr>
        <w:rPr>
          <w:rFonts w:ascii="Arial" w:hAnsi="Arial" w:cs="Arial"/>
          <w:sz w:val="24"/>
          <w:szCs w:val="24"/>
        </w:rPr>
      </w:pPr>
      <w:r w:rsidRPr="00451798">
        <w:rPr>
          <w:rFonts w:ascii="Arial" w:hAnsi="Arial" w:cs="Arial"/>
          <w:sz w:val="24"/>
          <w:szCs w:val="24"/>
        </w:rPr>
        <w:t xml:space="preserve">The transition date is applicable to all early action offset protocol versions and projects seeking to transition. </w:t>
      </w:r>
    </w:p>
    <w:p w:rsidR="00E35093" w:rsidRPr="007368C9" w:rsidRDefault="00D855DB" w:rsidP="000F2EF3">
      <w:pPr>
        <w:rPr>
          <w:rFonts w:ascii="Arial" w:hAnsi="Arial" w:cs="Arial"/>
          <w:sz w:val="24"/>
          <w:szCs w:val="24"/>
        </w:rPr>
      </w:pPr>
      <w:r w:rsidRPr="007368C9">
        <w:rPr>
          <w:rFonts w:ascii="Arial" w:hAnsi="Arial" w:cs="Arial"/>
          <w:sz w:val="24"/>
          <w:szCs w:val="24"/>
        </w:rPr>
        <w:t xml:space="preserve">The transition date </w:t>
      </w:r>
      <w:r w:rsidR="00EF5881">
        <w:rPr>
          <w:rFonts w:ascii="Arial" w:hAnsi="Arial" w:cs="Arial"/>
          <w:sz w:val="24"/>
          <w:szCs w:val="24"/>
        </w:rPr>
        <w:t xml:space="preserve">should be </w:t>
      </w:r>
      <w:r w:rsidRPr="007368C9">
        <w:rPr>
          <w:rFonts w:ascii="Arial" w:hAnsi="Arial" w:cs="Arial"/>
          <w:sz w:val="24"/>
          <w:szCs w:val="24"/>
        </w:rPr>
        <w:t xml:space="preserve">the most recent reporting period end date </w:t>
      </w:r>
      <w:r w:rsidR="00740D19" w:rsidRPr="007368C9">
        <w:rPr>
          <w:rFonts w:ascii="Arial" w:hAnsi="Arial" w:cs="Arial"/>
          <w:sz w:val="24"/>
          <w:szCs w:val="24"/>
        </w:rPr>
        <w:t xml:space="preserve">under the early action </w:t>
      </w:r>
      <w:r w:rsidR="008E27DE" w:rsidRPr="007368C9">
        <w:rPr>
          <w:rFonts w:ascii="Arial" w:hAnsi="Arial" w:cs="Arial"/>
          <w:sz w:val="24"/>
          <w:szCs w:val="24"/>
        </w:rPr>
        <w:t xml:space="preserve">offset </w:t>
      </w:r>
      <w:r w:rsidR="00740D19" w:rsidRPr="007368C9">
        <w:rPr>
          <w:rFonts w:ascii="Arial" w:hAnsi="Arial" w:cs="Arial"/>
          <w:sz w:val="24"/>
          <w:szCs w:val="24"/>
        </w:rPr>
        <w:t xml:space="preserve">protocol </w:t>
      </w:r>
      <w:r w:rsidRPr="007368C9">
        <w:rPr>
          <w:rFonts w:ascii="Arial" w:hAnsi="Arial" w:cs="Arial"/>
          <w:sz w:val="24"/>
          <w:szCs w:val="24"/>
        </w:rPr>
        <w:t xml:space="preserve">prior to January 1, 2015.  The initial reporting period under the COP begins on the day following the </w:t>
      </w:r>
      <w:r w:rsidR="008E27DE" w:rsidRPr="007368C9">
        <w:rPr>
          <w:rFonts w:ascii="Arial" w:hAnsi="Arial" w:cs="Arial"/>
          <w:sz w:val="24"/>
          <w:szCs w:val="24"/>
        </w:rPr>
        <w:t xml:space="preserve">end date of the </w:t>
      </w:r>
      <w:r w:rsidRPr="007368C9">
        <w:rPr>
          <w:rFonts w:ascii="Arial" w:hAnsi="Arial" w:cs="Arial"/>
          <w:sz w:val="24"/>
          <w:szCs w:val="24"/>
        </w:rPr>
        <w:t xml:space="preserve">final early action reporting </w:t>
      </w:r>
      <w:r w:rsidR="008E27DE" w:rsidRPr="007368C9">
        <w:rPr>
          <w:rFonts w:ascii="Arial" w:hAnsi="Arial" w:cs="Arial"/>
          <w:sz w:val="24"/>
          <w:szCs w:val="24"/>
        </w:rPr>
        <w:t>period</w:t>
      </w:r>
      <w:r w:rsidR="004E2F80" w:rsidRPr="007368C9">
        <w:rPr>
          <w:rFonts w:ascii="Arial" w:hAnsi="Arial" w:cs="Arial"/>
          <w:sz w:val="24"/>
          <w:szCs w:val="24"/>
        </w:rPr>
        <w:t>.</w:t>
      </w:r>
      <w:r w:rsidR="005E43CE" w:rsidRPr="007368C9">
        <w:rPr>
          <w:rFonts w:ascii="Arial" w:hAnsi="Arial" w:cs="Arial"/>
          <w:sz w:val="24"/>
          <w:szCs w:val="24"/>
        </w:rPr>
        <w:t xml:space="preserve"> </w:t>
      </w:r>
      <w:r w:rsidR="00447D44">
        <w:rPr>
          <w:rFonts w:ascii="Arial" w:hAnsi="Arial" w:cs="Arial"/>
          <w:sz w:val="24"/>
          <w:szCs w:val="24"/>
        </w:rPr>
        <w:t xml:space="preserve"> </w:t>
      </w:r>
      <w:r w:rsidR="005E43CE" w:rsidRPr="007368C9">
        <w:rPr>
          <w:rFonts w:ascii="Arial" w:hAnsi="Arial" w:cs="Arial"/>
          <w:sz w:val="24"/>
          <w:szCs w:val="24"/>
        </w:rPr>
        <w:t xml:space="preserve">There </w:t>
      </w:r>
      <w:r w:rsidR="00EF5881">
        <w:rPr>
          <w:rFonts w:ascii="Arial" w:hAnsi="Arial" w:cs="Arial"/>
          <w:sz w:val="24"/>
          <w:szCs w:val="24"/>
        </w:rPr>
        <w:t xml:space="preserve">should </w:t>
      </w:r>
      <w:r w:rsidR="005E43CE" w:rsidRPr="007368C9">
        <w:rPr>
          <w:rFonts w:ascii="Arial" w:hAnsi="Arial" w:cs="Arial"/>
          <w:sz w:val="24"/>
          <w:szCs w:val="24"/>
        </w:rPr>
        <w:t xml:space="preserve">be no gap in reporting between the reporting periods under the </w:t>
      </w:r>
      <w:r w:rsidR="00447D44">
        <w:rPr>
          <w:rFonts w:ascii="Arial" w:hAnsi="Arial" w:cs="Arial"/>
          <w:sz w:val="24"/>
          <w:szCs w:val="24"/>
        </w:rPr>
        <w:t xml:space="preserve">EAOP </w:t>
      </w:r>
      <w:r w:rsidR="005E43CE" w:rsidRPr="007368C9">
        <w:rPr>
          <w:rFonts w:ascii="Arial" w:hAnsi="Arial" w:cs="Arial"/>
          <w:sz w:val="24"/>
          <w:szCs w:val="24"/>
        </w:rPr>
        <w:t>and the initial reporting perio</w:t>
      </w:r>
      <w:r w:rsidR="00E35093" w:rsidRPr="007368C9">
        <w:rPr>
          <w:rFonts w:ascii="Arial" w:hAnsi="Arial" w:cs="Arial"/>
          <w:sz w:val="24"/>
          <w:szCs w:val="24"/>
        </w:rPr>
        <w:t xml:space="preserve">d </w:t>
      </w:r>
      <w:r w:rsidR="00447D44">
        <w:rPr>
          <w:rFonts w:ascii="Arial" w:hAnsi="Arial" w:cs="Arial"/>
          <w:sz w:val="24"/>
          <w:szCs w:val="24"/>
        </w:rPr>
        <w:t>using the COP</w:t>
      </w:r>
      <w:r w:rsidR="00E35093" w:rsidRPr="007368C9">
        <w:rPr>
          <w:rFonts w:ascii="Arial" w:hAnsi="Arial" w:cs="Arial"/>
          <w:sz w:val="24"/>
          <w:szCs w:val="24"/>
        </w:rPr>
        <w:t xml:space="preserve"> project.</w:t>
      </w:r>
    </w:p>
    <w:p w:rsidR="00E35093" w:rsidRPr="007368C9" w:rsidRDefault="00637439" w:rsidP="00012778">
      <w:pPr>
        <w:pStyle w:val="Heading1"/>
        <w:numPr>
          <w:ilvl w:val="0"/>
          <w:numId w:val="1"/>
        </w:numPr>
        <w:rPr>
          <w:rFonts w:ascii="Arial" w:hAnsi="Arial" w:cs="Arial"/>
        </w:rPr>
      </w:pPr>
      <w:bookmarkStart w:id="6" w:name="_Toc410056636"/>
      <w:bookmarkStart w:id="7" w:name="_Toc414534272"/>
      <w:bookmarkEnd w:id="6"/>
      <w:r w:rsidRPr="007368C9">
        <w:rPr>
          <w:rFonts w:ascii="Arial" w:hAnsi="Arial" w:cs="Arial"/>
        </w:rPr>
        <w:lastRenderedPageBreak/>
        <w:t xml:space="preserve">Transitioning </w:t>
      </w:r>
      <w:r w:rsidR="00773B26">
        <w:rPr>
          <w:rFonts w:ascii="Arial" w:hAnsi="Arial" w:cs="Arial"/>
        </w:rPr>
        <w:t xml:space="preserve">Early Action </w:t>
      </w:r>
      <w:r w:rsidR="00492C72" w:rsidRPr="007368C9">
        <w:rPr>
          <w:rFonts w:ascii="Arial" w:hAnsi="Arial" w:cs="Arial"/>
        </w:rPr>
        <w:t xml:space="preserve">Forest Project Protocol </w:t>
      </w:r>
      <w:r w:rsidR="00197CC6" w:rsidRPr="007368C9">
        <w:rPr>
          <w:rFonts w:ascii="Arial" w:hAnsi="Arial" w:cs="Arial"/>
        </w:rPr>
        <w:t xml:space="preserve">Version </w:t>
      </w:r>
      <w:r w:rsidR="00024E2A">
        <w:rPr>
          <w:rFonts w:ascii="Arial" w:hAnsi="Arial" w:cs="Arial"/>
        </w:rPr>
        <w:t>2.1 Conservation-Based Forest Management and</w:t>
      </w:r>
      <w:r w:rsidR="00197CC6" w:rsidRPr="007368C9">
        <w:rPr>
          <w:rFonts w:ascii="Arial" w:hAnsi="Arial" w:cs="Arial"/>
        </w:rPr>
        <w:t xml:space="preserve"> 3.</w:t>
      </w:r>
      <w:r w:rsidR="00DB58C3">
        <w:rPr>
          <w:rFonts w:ascii="Arial" w:hAnsi="Arial" w:cs="Arial"/>
        </w:rPr>
        <w:t xml:space="preserve">0, 3.1 &amp; 3.2 </w:t>
      </w:r>
      <w:r w:rsidR="00451798">
        <w:rPr>
          <w:rFonts w:ascii="Arial" w:hAnsi="Arial" w:cs="Arial"/>
        </w:rPr>
        <w:t xml:space="preserve">Improved Forest Management </w:t>
      </w:r>
      <w:r w:rsidR="00197CC6" w:rsidRPr="007368C9">
        <w:rPr>
          <w:rFonts w:ascii="Arial" w:hAnsi="Arial" w:cs="Arial"/>
        </w:rPr>
        <w:t>Projects</w:t>
      </w:r>
      <w:bookmarkEnd w:id="7"/>
    </w:p>
    <w:p w:rsidR="00CB1CBC" w:rsidRPr="007368C9" w:rsidRDefault="00FB4721" w:rsidP="00C5699F">
      <w:pPr>
        <w:rPr>
          <w:rFonts w:ascii="Arial" w:hAnsi="Arial" w:cs="Arial"/>
          <w:sz w:val="24"/>
          <w:szCs w:val="24"/>
        </w:rPr>
      </w:pPr>
      <w:r>
        <w:rPr>
          <w:rFonts w:ascii="Arial" w:hAnsi="Arial" w:cs="Arial"/>
          <w:sz w:val="24"/>
          <w:szCs w:val="24"/>
        </w:rPr>
        <w:t>The following section describes requirements a</w:t>
      </w:r>
      <w:r w:rsidR="005A50E2" w:rsidRPr="007368C9">
        <w:rPr>
          <w:rFonts w:ascii="Arial" w:hAnsi="Arial" w:cs="Arial"/>
          <w:sz w:val="24"/>
          <w:szCs w:val="24"/>
        </w:rPr>
        <w:t xml:space="preserve">pplicable to </w:t>
      </w:r>
      <w:r>
        <w:rPr>
          <w:rFonts w:ascii="Arial" w:hAnsi="Arial" w:cs="Arial"/>
          <w:sz w:val="24"/>
          <w:szCs w:val="24"/>
        </w:rPr>
        <w:t xml:space="preserve">transitioning </w:t>
      </w:r>
      <w:r w:rsidR="00467A3E" w:rsidRPr="007368C9">
        <w:rPr>
          <w:rFonts w:ascii="Arial" w:hAnsi="Arial" w:cs="Arial"/>
          <w:sz w:val="24"/>
          <w:szCs w:val="24"/>
        </w:rPr>
        <w:t>CAR</w:t>
      </w:r>
      <w:r w:rsidR="00492C72" w:rsidRPr="007368C9">
        <w:rPr>
          <w:rFonts w:ascii="Arial" w:hAnsi="Arial" w:cs="Arial"/>
          <w:sz w:val="24"/>
          <w:szCs w:val="24"/>
        </w:rPr>
        <w:t xml:space="preserve"> Forest Project Protocol </w:t>
      </w:r>
      <w:r w:rsidR="00197CC6" w:rsidRPr="007368C9">
        <w:rPr>
          <w:rFonts w:ascii="Arial" w:hAnsi="Arial" w:cs="Arial"/>
          <w:sz w:val="24"/>
          <w:szCs w:val="24"/>
        </w:rPr>
        <w:t>Version 2.1 Conservation-Based Forest Management</w:t>
      </w:r>
      <w:r w:rsidR="001C612B" w:rsidRPr="007368C9">
        <w:rPr>
          <w:rFonts w:ascii="Arial" w:hAnsi="Arial" w:cs="Arial"/>
          <w:sz w:val="24"/>
          <w:szCs w:val="24"/>
        </w:rPr>
        <w:t xml:space="preserve"> projects and </w:t>
      </w:r>
      <w:r w:rsidR="00197CC6" w:rsidRPr="007368C9">
        <w:rPr>
          <w:rFonts w:ascii="Arial" w:hAnsi="Arial" w:cs="Arial"/>
          <w:sz w:val="24"/>
          <w:szCs w:val="24"/>
        </w:rPr>
        <w:t>Version 3.</w:t>
      </w:r>
      <w:r w:rsidR="00451798">
        <w:rPr>
          <w:rFonts w:ascii="Arial" w:hAnsi="Arial" w:cs="Arial"/>
          <w:sz w:val="24"/>
          <w:szCs w:val="24"/>
        </w:rPr>
        <w:t>0, 3.1, and 3.2 (hereafter referred to as 3.x)</w:t>
      </w:r>
      <w:r w:rsidR="00197CC6" w:rsidRPr="007368C9">
        <w:rPr>
          <w:rFonts w:ascii="Arial" w:hAnsi="Arial" w:cs="Arial"/>
          <w:sz w:val="24"/>
          <w:szCs w:val="24"/>
        </w:rPr>
        <w:t xml:space="preserve"> Improved Forest Management </w:t>
      </w:r>
      <w:r w:rsidR="008E27DE" w:rsidRPr="007368C9">
        <w:rPr>
          <w:rFonts w:ascii="Arial" w:hAnsi="Arial" w:cs="Arial"/>
          <w:sz w:val="24"/>
          <w:szCs w:val="24"/>
        </w:rPr>
        <w:t xml:space="preserve">(IFM) </w:t>
      </w:r>
      <w:r w:rsidR="00197CC6" w:rsidRPr="007368C9">
        <w:rPr>
          <w:rFonts w:ascii="Arial" w:hAnsi="Arial" w:cs="Arial"/>
          <w:sz w:val="24"/>
          <w:szCs w:val="24"/>
        </w:rPr>
        <w:t>projects</w:t>
      </w:r>
      <w:r>
        <w:rPr>
          <w:rFonts w:ascii="Arial" w:hAnsi="Arial" w:cs="Arial"/>
          <w:sz w:val="24"/>
          <w:szCs w:val="24"/>
        </w:rPr>
        <w:t xml:space="preserve"> to the compliance offset program</w:t>
      </w:r>
      <w:r w:rsidR="00CB1CBC" w:rsidRPr="007368C9">
        <w:rPr>
          <w:rFonts w:ascii="Arial" w:hAnsi="Arial" w:cs="Arial"/>
          <w:sz w:val="24"/>
          <w:szCs w:val="24"/>
        </w:rPr>
        <w:t xml:space="preserve">. </w:t>
      </w:r>
    </w:p>
    <w:p w:rsidR="00EF5881" w:rsidRDefault="00765574" w:rsidP="000F2EF3">
      <w:pPr>
        <w:rPr>
          <w:rFonts w:ascii="Arial" w:hAnsi="Arial" w:cs="Arial"/>
          <w:sz w:val="24"/>
          <w:szCs w:val="24"/>
        </w:rPr>
      </w:pPr>
      <w:r w:rsidRPr="007368C9">
        <w:rPr>
          <w:rFonts w:ascii="Arial" w:hAnsi="Arial" w:cs="Arial"/>
          <w:sz w:val="24"/>
          <w:szCs w:val="24"/>
        </w:rPr>
        <w:t xml:space="preserve">The </w:t>
      </w:r>
      <w:r w:rsidR="00C71383" w:rsidRPr="007368C9">
        <w:rPr>
          <w:rFonts w:ascii="Arial" w:hAnsi="Arial" w:cs="Arial"/>
          <w:sz w:val="24"/>
          <w:szCs w:val="24"/>
        </w:rPr>
        <w:t>COP</w:t>
      </w:r>
      <w:r w:rsidR="00CB0ADA" w:rsidRPr="007368C9">
        <w:rPr>
          <w:rFonts w:ascii="Arial" w:hAnsi="Arial" w:cs="Arial"/>
          <w:sz w:val="24"/>
          <w:szCs w:val="24"/>
        </w:rPr>
        <w:t xml:space="preserve"> will</w:t>
      </w:r>
      <w:r w:rsidR="006A2E5D" w:rsidRPr="007368C9">
        <w:rPr>
          <w:rFonts w:ascii="Arial" w:hAnsi="Arial" w:cs="Arial"/>
          <w:sz w:val="24"/>
          <w:szCs w:val="24"/>
        </w:rPr>
        <w:t xml:space="preserve"> establish the basis for determin</w:t>
      </w:r>
      <w:r w:rsidR="001913C8" w:rsidRPr="007368C9">
        <w:rPr>
          <w:rFonts w:ascii="Arial" w:hAnsi="Arial" w:cs="Arial"/>
          <w:sz w:val="24"/>
          <w:szCs w:val="24"/>
        </w:rPr>
        <w:t>ing</w:t>
      </w:r>
      <w:r w:rsidR="006A2E5D" w:rsidRPr="007368C9">
        <w:rPr>
          <w:rFonts w:ascii="Arial" w:hAnsi="Arial" w:cs="Arial"/>
          <w:sz w:val="24"/>
          <w:szCs w:val="24"/>
        </w:rPr>
        <w:t xml:space="preserve"> project crediting</w:t>
      </w:r>
      <w:r w:rsidR="00301ACB" w:rsidRPr="007368C9">
        <w:rPr>
          <w:rFonts w:ascii="Arial" w:hAnsi="Arial" w:cs="Arial"/>
          <w:sz w:val="24"/>
          <w:szCs w:val="24"/>
        </w:rPr>
        <w:t xml:space="preserve"> following the transition </w:t>
      </w:r>
      <w:r w:rsidRPr="007368C9">
        <w:rPr>
          <w:rFonts w:ascii="Arial" w:hAnsi="Arial" w:cs="Arial"/>
          <w:sz w:val="24"/>
          <w:szCs w:val="24"/>
        </w:rPr>
        <w:t>date</w:t>
      </w:r>
      <w:r w:rsidR="005A50E2" w:rsidRPr="007368C9">
        <w:rPr>
          <w:rFonts w:ascii="Arial" w:hAnsi="Arial" w:cs="Arial"/>
          <w:sz w:val="24"/>
          <w:szCs w:val="24"/>
        </w:rPr>
        <w:t>.</w:t>
      </w:r>
      <w:r w:rsidR="006A2E5D" w:rsidRPr="007368C9">
        <w:rPr>
          <w:rFonts w:ascii="Arial" w:hAnsi="Arial" w:cs="Arial"/>
          <w:sz w:val="24"/>
          <w:szCs w:val="24"/>
        </w:rPr>
        <w:t xml:space="preserve"> </w:t>
      </w:r>
      <w:r w:rsidR="001612A7" w:rsidRPr="007368C9">
        <w:rPr>
          <w:rFonts w:ascii="Arial" w:hAnsi="Arial" w:cs="Arial"/>
          <w:sz w:val="24"/>
          <w:szCs w:val="24"/>
        </w:rPr>
        <w:t xml:space="preserve"> All </w:t>
      </w:r>
      <w:r w:rsidR="00C71383" w:rsidRPr="007368C9">
        <w:rPr>
          <w:rFonts w:ascii="Arial" w:hAnsi="Arial" w:cs="Arial"/>
          <w:sz w:val="24"/>
          <w:szCs w:val="24"/>
        </w:rPr>
        <w:t xml:space="preserve">projects developed using </w:t>
      </w:r>
      <w:r w:rsidR="00467A3E" w:rsidRPr="007368C9">
        <w:rPr>
          <w:rFonts w:ascii="Arial" w:hAnsi="Arial" w:cs="Arial"/>
          <w:sz w:val="24"/>
          <w:szCs w:val="24"/>
        </w:rPr>
        <w:t>CAR</w:t>
      </w:r>
      <w:r w:rsidR="00C71383" w:rsidRPr="007368C9">
        <w:rPr>
          <w:rFonts w:ascii="Arial" w:hAnsi="Arial" w:cs="Arial"/>
          <w:sz w:val="24"/>
          <w:szCs w:val="24"/>
        </w:rPr>
        <w:t xml:space="preserve"> Forest Project Protocol Version 2.1 </w:t>
      </w:r>
      <w:r w:rsidR="00436EFA" w:rsidRPr="007368C9">
        <w:rPr>
          <w:rFonts w:ascii="Arial" w:hAnsi="Arial" w:cs="Arial"/>
          <w:sz w:val="24"/>
          <w:szCs w:val="24"/>
        </w:rPr>
        <w:t xml:space="preserve">will </w:t>
      </w:r>
      <w:r w:rsidR="00C71383" w:rsidRPr="007368C9">
        <w:rPr>
          <w:rFonts w:ascii="Arial" w:hAnsi="Arial" w:cs="Arial"/>
          <w:sz w:val="24"/>
          <w:szCs w:val="24"/>
        </w:rPr>
        <w:t>re</w:t>
      </w:r>
      <w:r w:rsidR="00436EFA" w:rsidRPr="007368C9">
        <w:rPr>
          <w:rFonts w:ascii="Arial" w:hAnsi="Arial" w:cs="Arial"/>
          <w:sz w:val="24"/>
          <w:szCs w:val="24"/>
        </w:rPr>
        <w:t xml:space="preserve">calculate </w:t>
      </w:r>
      <w:r w:rsidR="00C71383" w:rsidRPr="007368C9">
        <w:rPr>
          <w:rFonts w:ascii="Arial" w:hAnsi="Arial" w:cs="Arial"/>
          <w:sz w:val="24"/>
          <w:szCs w:val="24"/>
        </w:rPr>
        <w:t>the</w:t>
      </w:r>
      <w:r w:rsidR="00436EFA" w:rsidRPr="007368C9">
        <w:rPr>
          <w:rFonts w:ascii="Arial" w:hAnsi="Arial" w:cs="Arial"/>
          <w:sz w:val="24"/>
          <w:szCs w:val="24"/>
        </w:rPr>
        <w:t xml:space="preserve"> baseline according to the </w:t>
      </w:r>
      <w:r w:rsidR="001612A7" w:rsidRPr="007368C9">
        <w:rPr>
          <w:rFonts w:ascii="Arial" w:hAnsi="Arial" w:cs="Arial"/>
          <w:sz w:val="24"/>
          <w:szCs w:val="24"/>
        </w:rPr>
        <w:t xml:space="preserve">COP </w:t>
      </w:r>
      <w:r w:rsidR="00C71383" w:rsidRPr="007368C9">
        <w:rPr>
          <w:rFonts w:ascii="Arial" w:hAnsi="Arial" w:cs="Arial"/>
          <w:sz w:val="24"/>
          <w:szCs w:val="24"/>
        </w:rPr>
        <w:t>back to the</w:t>
      </w:r>
      <w:r w:rsidR="00436EFA" w:rsidRPr="007368C9">
        <w:rPr>
          <w:rFonts w:ascii="Arial" w:hAnsi="Arial" w:cs="Arial"/>
          <w:sz w:val="24"/>
          <w:szCs w:val="24"/>
        </w:rPr>
        <w:t xml:space="preserve"> </w:t>
      </w:r>
      <w:r w:rsidR="009A6800" w:rsidRPr="007368C9">
        <w:rPr>
          <w:rFonts w:ascii="Arial" w:hAnsi="Arial" w:cs="Arial"/>
          <w:sz w:val="24"/>
          <w:szCs w:val="24"/>
        </w:rPr>
        <w:t xml:space="preserve">early action </w:t>
      </w:r>
      <w:r w:rsidR="00436EFA" w:rsidRPr="007368C9">
        <w:rPr>
          <w:rFonts w:ascii="Arial" w:hAnsi="Arial" w:cs="Arial"/>
          <w:sz w:val="24"/>
          <w:szCs w:val="24"/>
        </w:rPr>
        <w:t xml:space="preserve">project’s commencement date.  </w:t>
      </w:r>
      <w:r w:rsidR="00467A3E" w:rsidRPr="007368C9">
        <w:rPr>
          <w:rFonts w:ascii="Arial" w:hAnsi="Arial" w:cs="Arial"/>
          <w:sz w:val="24"/>
          <w:szCs w:val="24"/>
        </w:rPr>
        <w:t>CAR</w:t>
      </w:r>
      <w:r w:rsidR="00C71383" w:rsidRPr="007368C9">
        <w:rPr>
          <w:rFonts w:ascii="Arial" w:hAnsi="Arial" w:cs="Arial"/>
          <w:sz w:val="24"/>
          <w:szCs w:val="24"/>
        </w:rPr>
        <w:t xml:space="preserve"> Fore</w:t>
      </w:r>
      <w:r w:rsidR="008E27DE" w:rsidRPr="007368C9">
        <w:rPr>
          <w:rFonts w:ascii="Arial" w:hAnsi="Arial" w:cs="Arial"/>
          <w:sz w:val="24"/>
          <w:szCs w:val="24"/>
        </w:rPr>
        <w:t>st Project Protocol Versions</w:t>
      </w:r>
      <w:r w:rsidR="00C71383" w:rsidRPr="007368C9">
        <w:rPr>
          <w:rFonts w:ascii="Arial" w:hAnsi="Arial" w:cs="Arial"/>
          <w:sz w:val="24"/>
          <w:szCs w:val="24"/>
        </w:rPr>
        <w:t xml:space="preserve"> </w:t>
      </w:r>
      <w:r w:rsidR="001612A7" w:rsidRPr="007368C9">
        <w:rPr>
          <w:rFonts w:ascii="Arial" w:hAnsi="Arial" w:cs="Arial"/>
          <w:sz w:val="24"/>
          <w:szCs w:val="24"/>
        </w:rPr>
        <w:t xml:space="preserve">3.x </w:t>
      </w:r>
      <w:r w:rsidR="00C71383" w:rsidRPr="007368C9">
        <w:rPr>
          <w:rFonts w:ascii="Arial" w:hAnsi="Arial" w:cs="Arial"/>
          <w:sz w:val="24"/>
          <w:szCs w:val="24"/>
        </w:rPr>
        <w:t xml:space="preserve">IFM </w:t>
      </w:r>
      <w:r w:rsidR="001612A7" w:rsidRPr="007368C9">
        <w:rPr>
          <w:rFonts w:ascii="Arial" w:hAnsi="Arial" w:cs="Arial"/>
          <w:sz w:val="24"/>
          <w:szCs w:val="24"/>
        </w:rPr>
        <w:t xml:space="preserve">projects will  need to </w:t>
      </w:r>
      <w:r w:rsidR="00C71383" w:rsidRPr="007368C9">
        <w:rPr>
          <w:rFonts w:ascii="Arial" w:hAnsi="Arial" w:cs="Arial"/>
          <w:sz w:val="24"/>
          <w:szCs w:val="24"/>
        </w:rPr>
        <w:t>re</w:t>
      </w:r>
      <w:r w:rsidR="001612A7" w:rsidRPr="007368C9">
        <w:rPr>
          <w:rFonts w:ascii="Arial" w:hAnsi="Arial" w:cs="Arial"/>
          <w:sz w:val="24"/>
          <w:szCs w:val="24"/>
        </w:rPr>
        <w:t xml:space="preserve">calculate </w:t>
      </w:r>
      <w:r w:rsidR="00C71383" w:rsidRPr="007368C9">
        <w:rPr>
          <w:rFonts w:ascii="Arial" w:hAnsi="Arial" w:cs="Arial"/>
          <w:sz w:val="24"/>
          <w:szCs w:val="24"/>
        </w:rPr>
        <w:t>the</w:t>
      </w:r>
      <w:r w:rsidR="001612A7" w:rsidRPr="007368C9">
        <w:rPr>
          <w:rFonts w:ascii="Arial" w:hAnsi="Arial" w:cs="Arial"/>
          <w:sz w:val="24"/>
          <w:szCs w:val="24"/>
        </w:rPr>
        <w:t xml:space="preserve"> baseline according the COP if </w:t>
      </w:r>
      <w:r w:rsidR="00EF5881">
        <w:rPr>
          <w:rFonts w:ascii="Arial" w:hAnsi="Arial" w:cs="Arial"/>
          <w:sz w:val="24"/>
          <w:szCs w:val="24"/>
        </w:rPr>
        <w:t xml:space="preserve">the COP has a different set of required volume or biomass equations or if </w:t>
      </w:r>
      <w:r w:rsidR="001612A7" w:rsidRPr="007368C9">
        <w:rPr>
          <w:rFonts w:ascii="Arial" w:hAnsi="Arial" w:cs="Arial"/>
          <w:sz w:val="24"/>
          <w:szCs w:val="24"/>
        </w:rPr>
        <w:t xml:space="preserve">it is determined that the High Stocking Reference </w:t>
      </w:r>
      <w:r w:rsidR="008E27DE" w:rsidRPr="007368C9">
        <w:rPr>
          <w:rFonts w:ascii="Arial" w:hAnsi="Arial" w:cs="Arial"/>
          <w:sz w:val="24"/>
          <w:szCs w:val="24"/>
        </w:rPr>
        <w:t xml:space="preserve">(HSR) </w:t>
      </w:r>
      <w:r w:rsidR="001612A7" w:rsidRPr="007368C9">
        <w:rPr>
          <w:rFonts w:ascii="Arial" w:hAnsi="Arial" w:cs="Arial"/>
          <w:sz w:val="24"/>
          <w:szCs w:val="24"/>
        </w:rPr>
        <w:t xml:space="preserve">under the COP would </w:t>
      </w:r>
      <w:r w:rsidR="0089768D">
        <w:rPr>
          <w:rFonts w:ascii="Arial" w:hAnsi="Arial" w:cs="Arial"/>
          <w:sz w:val="24"/>
          <w:szCs w:val="24"/>
        </w:rPr>
        <w:t>influence</w:t>
      </w:r>
      <w:r w:rsidR="001612A7" w:rsidRPr="007368C9">
        <w:rPr>
          <w:rFonts w:ascii="Arial" w:hAnsi="Arial" w:cs="Arial"/>
          <w:sz w:val="24"/>
          <w:szCs w:val="24"/>
        </w:rPr>
        <w:t xml:space="preserve"> </w:t>
      </w:r>
      <w:r w:rsidR="00A1284A">
        <w:rPr>
          <w:rFonts w:ascii="Arial" w:hAnsi="Arial" w:cs="Arial"/>
          <w:sz w:val="24"/>
          <w:szCs w:val="24"/>
        </w:rPr>
        <w:t>t</w:t>
      </w:r>
      <w:r w:rsidR="001612A7" w:rsidRPr="007368C9">
        <w:rPr>
          <w:rFonts w:ascii="Arial" w:hAnsi="Arial" w:cs="Arial"/>
          <w:sz w:val="24"/>
          <w:szCs w:val="24"/>
        </w:rPr>
        <w:t xml:space="preserve">he early action </w:t>
      </w:r>
      <w:r w:rsidR="008E27DE" w:rsidRPr="007368C9">
        <w:rPr>
          <w:rFonts w:ascii="Arial" w:hAnsi="Arial" w:cs="Arial"/>
          <w:sz w:val="24"/>
          <w:szCs w:val="24"/>
        </w:rPr>
        <w:t xml:space="preserve">offset </w:t>
      </w:r>
      <w:r w:rsidR="001612A7" w:rsidRPr="007368C9">
        <w:rPr>
          <w:rFonts w:ascii="Arial" w:hAnsi="Arial" w:cs="Arial"/>
          <w:sz w:val="24"/>
          <w:szCs w:val="24"/>
        </w:rPr>
        <w:t xml:space="preserve">project’s baseline.  </w:t>
      </w:r>
    </w:p>
    <w:p w:rsidR="003E3913" w:rsidRPr="007368C9" w:rsidRDefault="001612A7" w:rsidP="000F2EF3">
      <w:pPr>
        <w:rPr>
          <w:rFonts w:ascii="Arial" w:hAnsi="Arial" w:cs="Arial"/>
          <w:sz w:val="24"/>
          <w:szCs w:val="24"/>
        </w:rPr>
      </w:pPr>
      <w:r w:rsidRPr="007368C9">
        <w:rPr>
          <w:rFonts w:ascii="Arial" w:hAnsi="Arial" w:cs="Arial"/>
          <w:sz w:val="24"/>
          <w:szCs w:val="24"/>
        </w:rPr>
        <w:t xml:space="preserve">Guidance is provided in this document to </w:t>
      </w:r>
      <w:r w:rsidR="00447D44">
        <w:rPr>
          <w:rFonts w:ascii="Arial" w:hAnsi="Arial" w:cs="Arial"/>
          <w:sz w:val="24"/>
          <w:szCs w:val="24"/>
        </w:rPr>
        <w:t>determine</w:t>
      </w:r>
      <w:r w:rsidR="005D7B71" w:rsidRPr="007368C9">
        <w:rPr>
          <w:rFonts w:ascii="Arial" w:hAnsi="Arial" w:cs="Arial"/>
          <w:sz w:val="24"/>
          <w:szCs w:val="24"/>
        </w:rPr>
        <w:t xml:space="preserve"> whether </w:t>
      </w:r>
      <w:r w:rsidR="00447D44">
        <w:rPr>
          <w:rFonts w:ascii="Arial" w:hAnsi="Arial" w:cs="Arial"/>
          <w:sz w:val="24"/>
          <w:szCs w:val="24"/>
        </w:rPr>
        <w:t>version</w:t>
      </w:r>
      <w:r w:rsidR="00451798">
        <w:rPr>
          <w:rFonts w:ascii="Arial" w:hAnsi="Arial" w:cs="Arial"/>
          <w:sz w:val="24"/>
          <w:szCs w:val="24"/>
        </w:rPr>
        <w:t>s</w:t>
      </w:r>
      <w:r w:rsidR="008E27DE" w:rsidRPr="007368C9">
        <w:rPr>
          <w:rFonts w:ascii="Arial" w:hAnsi="Arial" w:cs="Arial"/>
          <w:sz w:val="24"/>
          <w:szCs w:val="24"/>
        </w:rPr>
        <w:t xml:space="preserve"> 3.x IFM </w:t>
      </w:r>
      <w:r w:rsidR="005D7B71" w:rsidRPr="007368C9">
        <w:rPr>
          <w:rFonts w:ascii="Arial" w:hAnsi="Arial" w:cs="Arial"/>
          <w:sz w:val="24"/>
          <w:szCs w:val="24"/>
        </w:rPr>
        <w:t xml:space="preserve">projects will need to recalculate </w:t>
      </w:r>
      <w:r w:rsidR="00C71383" w:rsidRPr="007368C9">
        <w:rPr>
          <w:rFonts w:ascii="Arial" w:hAnsi="Arial" w:cs="Arial"/>
          <w:sz w:val="24"/>
          <w:szCs w:val="24"/>
        </w:rPr>
        <w:t>the</w:t>
      </w:r>
      <w:r w:rsidR="005D7B71" w:rsidRPr="007368C9">
        <w:rPr>
          <w:rFonts w:ascii="Arial" w:hAnsi="Arial" w:cs="Arial"/>
          <w:sz w:val="24"/>
          <w:szCs w:val="24"/>
        </w:rPr>
        <w:t xml:space="preserve"> project baseline.</w:t>
      </w:r>
      <w:r w:rsidRPr="007368C9">
        <w:rPr>
          <w:rFonts w:ascii="Arial" w:hAnsi="Arial" w:cs="Arial"/>
          <w:sz w:val="24"/>
          <w:szCs w:val="24"/>
        </w:rPr>
        <w:t xml:space="preserve">  Projects that </w:t>
      </w:r>
      <w:r w:rsidR="008E27DE" w:rsidRPr="007368C9">
        <w:rPr>
          <w:rFonts w:ascii="Arial" w:hAnsi="Arial" w:cs="Arial"/>
          <w:sz w:val="24"/>
          <w:szCs w:val="24"/>
        </w:rPr>
        <w:t>re</w:t>
      </w:r>
      <w:r w:rsidRPr="007368C9">
        <w:rPr>
          <w:rFonts w:ascii="Arial" w:hAnsi="Arial" w:cs="Arial"/>
          <w:sz w:val="24"/>
          <w:szCs w:val="24"/>
        </w:rPr>
        <w:t xml:space="preserve">calculate </w:t>
      </w:r>
      <w:r w:rsidR="005423FD">
        <w:rPr>
          <w:rFonts w:ascii="Arial" w:hAnsi="Arial" w:cs="Arial"/>
          <w:sz w:val="24"/>
          <w:szCs w:val="24"/>
        </w:rPr>
        <w:t>the</w:t>
      </w:r>
      <w:r w:rsidRPr="007368C9">
        <w:rPr>
          <w:rFonts w:ascii="Arial" w:hAnsi="Arial" w:cs="Arial"/>
          <w:sz w:val="24"/>
          <w:szCs w:val="24"/>
        </w:rPr>
        <w:t xml:space="preserve"> baseline according to the COP will have to</w:t>
      </w:r>
      <w:r w:rsidR="008E27DE" w:rsidRPr="007368C9">
        <w:rPr>
          <w:rFonts w:ascii="Arial" w:hAnsi="Arial" w:cs="Arial"/>
          <w:sz w:val="24"/>
          <w:szCs w:val="24"/>
        </w:rPr>
        <w:t xml:space="preserve"> develop an inventory </w:t>
      </w:r>
      <w:r w:rsidR="007A7D2B" w:rsidRPr="007368C9">
        <w:rPr>
          <w:rFonts w:ascii="Arial" w:hAnsi="Arial" w:cs="Arial"/>
          <w:sz w:val="24"/>
          <w:szCs w:val="24"/>
        </w:rPr>
        <w:t xml:space="preserve">that is representative of </w:t>
      </w:r>
      <w:r w:rsidR="00FF4DC8" w:rsidRPr="007368C9">
        <w:rPr>
          <w:rFonts w:ascii="Arial" w:hAnsi="Arial" w:cs="Arial"/>
          <w:sz w:val="24"/>
          <w:szCs w:val="24"/>
        </w:rPr>
        <w:t xml:space="preserve">the project area’s carbon stocks as of </w:t>
      </w:r>
      <w:r w:rsidR="007A7D2B" w:rsidRPr="007368C9">
        <w:rPr>
          <w:rFonts w:ascii="Arial" w:hAnsi="Arial" w:cs="Arial"/>
          <w:sz w:val="24"/>
          <w:szCs w:val="24"/>
        </w:rPr>
        <w:t xml:space="preserve">the </w:t>
      </w:r>
      <w:r w:rsidR="005423FD">
        <w:rPr>
          <w:rFonts w:ascii="Arial" w:hAnsi="Arial" w:cs="Arial"/>
          <w:sz w:val="24"/>
          <w:szCs w:val="24"/>
        </w:rPr>
        <w:t xml:space="preserve">early action offset </w:t>
      </w:r>
      <w:r w:rsidR="007A7D2B" w:rsidRPr="007368C9">
        <w:rPr>
          <w:rFonts w:ascii="Arial" w:hAnsi="Arial" w:cs="Arial"/>
          <w:sz w:val="24"/>
          <w:szCs w:val="24"/>
        </w:rPr>
        <w:t>project’s commencement date</w:t>
      </w:r>
      <w:r w:rsidR="005A50E2" w:rsidRPr="007368C9">
        <w:rPr>
          <w:rFonts w:ascii="Arial" w:hAnsi="Arial" w:cs="Arial"/>
          <w:sz w:val="24"/>
          <w:szCs w:val="24"/>
        </w:rPr>
        <w:t>.</w:t>
      </w:r>
    </w:p>
    <w:p w:rsidR="00825834" w:rsidRPr="007368C9" w:rsidRDefault="005A50E2" w:rsidP="000F2EF3">
      <w:pPr>
        <w:rPr>
          <w:rFonts w:ascii="Arial" w:hAnsi="Arial" w:cs="Arial"/>
          <w:sz w:val="24"/>
          <w:szCs w:val="24"/>
        </w:rPr>
      </w:pPr>
      <w:r w:rsidRPr="007368C9">
        <w:rPr>
          <w:rFonts w:ascii="Arial" w:hAnsi="Arial" w:cs="Arial"/>
          <w:sz w:val="24"/>
          <w:szCs w:val="24"/>
        </w:rPr>
        <w:t>Early action</w:t>
      </w:r>
      <w:r w:rsidR="007A7D2B" w:rsidRPr="007368C9">
        <w:rPr>
          <w:rFonts w:ascii="Arial" w:hAnsi="Arial" w:cs="Arial"/>
          <w:sz w:val="24"/>
          <w:szCs w:val="24"/>
        </w:rPr>
        <w:t xml:space="preserve"> </w:t>
      </w:r>
      <w:r w:rsidR="008E27DE" w:rsidRPr="007368C9">
        <w:rPr>
          <w:rFonts w:ascii="Arial" w:hAnsi="Arial" w:cs="Arial"/>
          <w:sz w:val="24"/>
          <w:szCs w:val="24"/>
        </w:rPr>
        <w:t xml:space="preserve">offset </w:t>
      </w:r>
      <w:r w:rsidR="007A7D2B" w:rsidRPr="007368C9">
        <w:rPr>
          <w:rFonts w:ascii="Arial" w:hAnsi="Arial" w:cs="Arial"/>
          <w:sz w:val="24"/>
          <w:szCs w:val="24"/>
        </w:rPr>
        <w:t xml:space="preserve">projects transitioning to the </w:t>
      </w:r>
      <w:r w:rsidR="000D07C3" w:rsidRPr="007368C9">
        <w:rPr>
          <w:rFonts w:ascii="Arial" w:hAnsi="Arial" w:cs="Arial"/>
          <w:sz w:val="24"/>
          <w:szCs w:val="24"/>
        </w:rPr>
        <w:t>COP</w:t>
      </w:r>
      <w:r w:rsidR="007A7D2B" w:rsidRPr="007368C9">
        <w:rPr>
          <w:rFonts w:ascii="Arial" w:hAnsi="Arial" w:cs="Arial"/>
          <w:sz w:val="24"/>
          <w:szCs w:val="24"/>
        </w:rPr>
        <w:t xml:space="preserve"> </w:t>
      </w:r>
      <w:r w:rsidR="00B25A3A">
        <w:rPr>
          <w:rFonts w:ascii="Arial" w:hAnsi="Arial" w:cs="Arial"/>
          <w:sz w:val="24"/>
          <w:szCs w:val="24"/>
        </w:rPr>
        <w:t>should</w:t>
      </w:r>
      <w:r w:rsidR="007A7D2B" w:rsidRPr="007368C9">
        <w:rPr>
          <w:rFonts w:ascii="Arial" w:hAnsi="Arial" w:cs="Arial"/>
          <w:sz w:val="24"/>
          <w:szCs w:val="24"/>
        </w:rPr>
        <w:t xml:space="preserve"> compare the credits they received under the </w:t>
      </w:r>
      <w:r w:rsidR="008E27DE" w:rsidRPr="007368C9">
        <w:rPr>
          <w:rFonts w:ascii="Arial" w:hAnsi="Arial" w:cs="Arial"/>
          <w:sz w:val="24"/>
          <w:szCs w:val="24"/>
        </w:rPr>
        <w:t>EAOP</w:t>
      </w:r>
      <w:r w:rsidR="007A7D2B" w:rsidRPr="007368C9">
        <w:rPr>
          <w:rFonts w:ascii="Arial" w:hAnsi="Arial" w:cs="Arial"/>
          <w:sz w:val="24"/>
          <w:szCs w:val="24"/>
        </w:rPr>
        <w:t xml:space="preserve"> to the credits they would have received during the same </w:t>
      </w:r>
      <w:r w:rsidR="00492C72" w:rsidRPr="007368C9">
        <w:rPr>
          <w:rFonts w:ascii="Arial" w:hAnsi="Arial" w:cs="Arial"/>
          <w:sz w:val="24"/>
          <w:szCs w:val="24"/>
        </w:rPr>
        <w:t xml:space="preserve">time </w:t>
      </w:r>
      <w:r w:rsidR="007A7D2B" w:rsidRPr="007368C9">
        <w:rPr>
          <w:rFonts w:ascii="Arial" w:hAnsi="Arial" w:cs="Arial"/>
          <w:sz w:val="24"/>
          <w:szCs w:val="24"/>
        </w:rPr>
        <w:t xml:space="preserve">period using the </w:t>
      </w:r>
      <w:r w:rsidR="00C71383" w:rsidRPr="007368C9">
        <w:rPr>
          <w:rFonts w:ascii="Arial" w:hAnsi="Arial" w:cs="Arial"/>
          <w:sz w:val="24"/>
          <w:szCs w:val="24"/>
        </w:rPr>
        <w:t>COP’s</w:t>
      </w:r>
      <w:r w:rsidR="007A7D2B" w:rsidRPr="007368C9">
        <w:rPr>
          <w:rFonts w:ascii="Arial" w:hAnsi="Arial" w:cs="Arial"/>
          <w:sz w:val="24"/>
          <w:szCs w:val="24"/>
        </w:rPr>
        <w:t xml:space="preserve"> IFM quantification methods</w:t>
      </w:r>
      <w:r w:rsidR="00FB4721">
        <w:rPr>
          <w:rFonts w:ascii="Arial" w:hAnsi="Arial" w:cs="Arial"/>
          <w:sz w:val="24"/>
          <w:szCs w:val="24"/>
        </w:rPr>
        <w:t>.</w:t>
      </w:r>
      <w:r w:rsidR="004E2F80" w:rsidRPr="007368C9">
        <w:rPr>
          <w:rFonts w:ascii="Arial" w:hAnsi="Arial" w:cs="Arial"/>
          <w:sz w:val="24"/>
          <w:szCs w:val="24"/>
          <w:vertAlign w:val="superscript"/>
        </w:rPr>
        <w:footnoteReference w:id="5"/>
      </w:r>
      <w:r w:rsidR="00317B9E">
        <w:rPr>
          <w:rFonts w:ascii="Arial" w:hAnsi="Arial" w:cs="Arial"/>
          <w:sz w:val="24"/>
          <w:szCs w:val="24"/>
        </w:rPr>
        <w:t xml:space="preserve"> </w:t>
      </w:r>
    </w:p>
    <w:p w:rsidR="003E3913" w:rsidRPr="007368C9" w:rsidRDefault="008E27DE" w:rsidP="000F2EF3">
      <w:pPr>
        <w:pStyle w:val="ListParagraph"/>
        <w:numPr>
          <w:ilvl w:val="0"/>
          <w:numId w:val="4"/>
        </w:numPr>
        <w:ind w:left="720"/>
        <w:rPr>
          <w:rFonts w:ascii="Arial" w:hAnsi="Arial" w:cs="Arial"/>
          <w:sz w:val="24"/>
          <w:szCs w:val="24"/>
        </w:rPr>
      </w:pPr>
      <w:r w:rsidRPr="007368C9">
        <w:rPr>
          <w:rFonts w:ascii="Arial" w:hAnsi="Arial" w:cs="Arial"/>
          <w:sz w:val="24"/>
          <w:szCs w:val="24"/>
        </w:rPr>
        <w:t>If the early action offset project received fewer early action offset credits than would h</w:t>
      </w:r>
      <w:r w:rsidR="00467A3E" w:rsidRPr="007368C9">
        <w:rPr>
          <w:rFonts w:ascii="Arial" w:hAnsi="Arial" w:cs="Arial"/>
          <w:sz w:val="24"/>
          <w:szCs w:val="24"/>
        </w:rPr>
        <w:t xml:space="preserve">ave been received under the COP, </w:t>
      </w:r>
      <w:r w:rsidRPr="007368C9">
        <w:rPr>
          <w:rFonts w:ascii="Arial" w:hAnsi="Arial" w:cs="Arial"/>
          <w:sz w:val="24"/>
          <w:szCs w:val="24"/>
        </w:rPr>
        <w:t>the project will be issued the balance</w:t>
      </w:r>
      <w:r w:rsidR="005423FD">
        <w:rPr>
          <w:rFonts w:ascii="Arial" w:hAnsi="Arial" w:cs="Arial"/>
          <w:sz w:val="24"/>
          <w:szCs w:val="24"/>
        </w:rPr>
        <w:t xml:space="preserve"> accounting for any ARB Forest Buffer Account contributions</w:t>
      </w:r>
      <w:r w:rsidR="00451798">
        <w:rPr>
          <w:rFonts w:ascii="Arial" w:hAnsi="Arial" w:cs="Arial"/>
          <w:sz w:val="24"/>
          <w:szCs w:val="24"/>
        </w:rPr>
        <w:t xml:space="preserve"> and other required COP deductions</w:t>
      </w:r>
      <w:r w:rsidR="003E3913" w:rsidRPr="007368C9">
        <w:rPr>
          <w:rFonts w:ascii="Arial" w:hAnsi="Arial" w:cs="Arial"/>
          <w:sz w:val="24"/>
          <w:szCs w:val="24"/>
        </w:rPr>
        <w:t>.</w:t>
      </w:r>
    </w:p>
    <w:p w:rsidR="00C8389C" w:rsidRPr="007368C9" w:rsidRDefault="00824C6A" w:rsidP="000F2EF3">
      <w:pPr>
        <w:pStyle w:val="ListParagraph"/>
        <w:numPr>
          <w:ilvl w:val="0"/>
          <w:numId w:val="4"/>
        </w:numPr>
        <w:ind w:left="720"/>
        <w:rPr>
          <w:rFonts w:ascii="Arial" w:hAnsi="Arial" w:cs="Arial"/>
          <w:sz w:val="24"/>
          <w:szCs w:val="24"/>
        </w:rPr>
      </w:pPr>
      <w:r w:rsidRPr="007368C9">
        <w:rPr>
          <w:rFonts w:ascii="Arial" w:hAnsi="Arial" w:cs="Arial"/>
          <w:sz w:val="24"/>
          <w:szCs w:val="24"/>
        </w:rPr>
        <w:t xml:space="preserve">If the </w:t>
      </w:r>
      <w:r w:rsidR="005A50E2" w:rsidRPr="007368C9">
        <w:rPr>
          <w:rFonts w:ascii="Arial" w:hAnsi="Arial" w:cs="Arial"/>
          <w:sz w:val="24"/>
          <w:szCs w:val="24"/>
        </w:rPr>
        <w:t>early action</w:t>
      </w:r>
      <w:r w:rsidR="008E27DE" w:rsidRPr="007368C9">
        <w:rPr>
          <w:rFonts w:ascii="Arial" w:hAnsi="Arial" w:cs="Arial"/>
          <w:sz w:val="24"/>
          <w:szCs w:val="24"/>
        </w:rPr>
        <w:t xml:space="preserve"> offset</w:t>
      </w:r>
      <w:r w:rsidRPr="007368C9">
        <w:rPr>
          <w:rFonts w:ascii="Arial" w:hAnsi="Arial" w:cs="Arial"/>
          <w:sz w:val="24"/>
          <w:szCs w:val="24"/>
        </w:rPr>
        <w:t xml:space="preserve"> project received </w:t>
      </w:r>
      <w:r w:rsidR="008E27DE" w:rsidRPr="007368C9">
        <w:rPr>
          <w:rFonts w:ascii="Arial" w:hAnsi="Arial" w:cs="Arial"/>
          <w:sz w:val="24"/>
          <w:szCs w:val="24"/>
        </w:rPr>
        <w:t xml:space="preserve">early action offset </w:t>
      </w:r>
      <w:r w:rsidRPr="007368C9">
        <w:rPr>
          <w:rFonts w:ascii="Arial" w:hAnsi="Arial" w:cs="Arial"/>
          <w:sz w:val="24"/>
          <w:szCs w:val="24"/>
        </w:rPr>
        <w:t xml:space="preserve">credits </w:t>
      </w:r>
      <w:r w:rsidR="008E27DE" w:rsidRPr="007368C9">
        <w:rPr>
          <w:rFonts w:ascii="Arial" w:hAnsi="Arial" w:cs="Arial"/>
          <w:sz w:val="24"/>
          <w:szCs w:val="24"/>
        </w:rPr>
        <w:t>greater than or equal to</w:t>
      </w:r>
      <w:r w:rsidRPr="007368C9">
        <w:rPr>
          <w:rFonts w:ascii="Arial" w:hAnsi="Arial" w:cs="Arial"/>
          <w:sz w:val="24"/>
          <w:szCs w:val="24"/>
        </w:rPr>
        <w:t xml:space="preserve"> the </w:t>
      </w:r>
      <w:r w:rsidR="008E27DE" w:rsidRPr="007368C9">
        <w:rPr>
          <w:rFonts w:ascii="Arial" w:hAnsi="Arial" w:cs="Arial"/>
          <w:sz w:val="24"/>
          <w:szCs w:val="24"/>
        </w:rPr>
        <w:t xml:space="preserve">number of offset </w:t>
      </w:r>
      <w:r w:rsidRPr="007368C9">
        <w:rPr>
          <w:rFonts w:ascii="Arial" w:hAnsi="Arial" w:cs="Arial"/>
          <w:sz w:val="24"/>
          <w:szCs w:val="24"/>
        </w:rPr>
        <w:t xml:space="preserve">credits </w:t>
      </w:r>
      <w:r w:rsidR="008E27DE" w:rsidRPr="007368C9">
        <w:rPr>
          <w:rFonts w:ascii="Arial" w:hAnsi="Arial" w:cs="Arial"/>
          <w:sz w:val="24"/>
          <w:szCs w:val="24"/>
        </w:rPr>
        <w:t>that</w:t>
      </w:r>
      <w:r w:rsidRPr="007368C9">
        <w:rPr>
          <w:rFonts w:ascii="Arial" w:hAnsi="Arial" w:cs="Arial"/>
          <w:sz w:val="24"/>
          <w:szCs w:val="24"/>
        </w:rPr>
        <w:t xml:space="preserve"> would have been received under the </w:t>
      </w:r>
      <w:r w:rsidR="000D07C3" w:rsidRPr="007368C9">
        <w:rPr>
          <w:rFonts w:ascii="Arial" w:hAnsi="Arial" w:cs="Arial"/>
          <w:sz w:val="24"/>
          <w:szCs w:val="24"/>
        </w:rPr>
        <w:t>COP</w:t>
      </w:r>
      <w:r w:rsidR="00467A3E" w:rsidRPr="007368C9">
        <w:rPr>
          <w:rFonts w:ascii="Arial" w:hAnsi="Arial" w:cs="Arial"/>
          <w:sz w:val="24"/>
          <w:szCs w:val="24"/>
        </w:rPr>
        <w:t>,</w:t>
      </w:r>
      <w:r w:rsidR="000D07C3" w:rsidRPr="007368C9">
        <w:rPr>
          <w:rFonts w:ascii="Arial" w:hAnsi="Arial" w:cs="Arial"/>
          <w:sz w:val="24"/>
          <w:szCs w:val="24"/>
        </w:rPr>
        <w:t xml:space="preserve"> </w:t>
      </w:r>
      <w:r w:rsidR="00467A3E" w:rsidRPr="007368C9">
        <w:rPr>
          <w:rFonts w:ascii="Arial" w:hAnsi="Arial" w:cs="Arial"/>
          <w:sz w:val="24"/>
          <w:szCs w:val="24"/>
        </w:rPr>
        <w:t xml:space="preserve">all early action offset credits are eligible </w:t>
      </w:r>
      <w:r w:rsidR="005423FD">
        <w:rPr>
          <w:rFonts w:ascii="Arial" w:hAnsi="Arial" w:cs="Arial"/>
          <w:sz w:val="24"/>
          <w:szCs w:val="24"/>
        </w:rPr>
        <w:t>to</w:t>
      </w:r>
      <w:r w:rsidR="00467A3E" w:rsidRPr="007368C9">
        <w:rPr>
          <w:rFonts w:ascii="Arial" w:hAnsi="Arial" w:cs="Arial"/>
          <w:sz w:val="24"/>
          <w:szCs w:val="24"/>
        </w:rPr>
        <w:t xml:space="preserve"> transition to ARB offset credits</w:t>
      </w:r>
      <w:r w:rsidR="00451798">
        <w:rPr>
          <w:rFonts w:ascii="Arial" w:hAnsi="Arial" w:cs="Arial"/>
          <w:sz w:val="24"/>
          <w:szCs w:val="24"/>
        </w:rPr>
        <w:t xml:space="preserve"> accounting for any ARB Forest Buffer Account contributions and other COP deductions</w:t>
      </w:r>
      <w:r w:rsidR="00467A3E" w:rsidRPr="007368C9">
        <w:rPr>
          <w:rFonts w:ascii="Arial" w:hAnsi="Arial" w:cs="Arial"/>
          <w:sz w:val="24"/>
          <w:szCs w:val="24"/>
        </w:rPr>
        <w:t xml:space="preserve">.  </w:t>
      </w:r>
    </w:p>
    <w:p w:rsidR="006A2E5D" w:rsidRPr="007368C9" w:rsidRDefault="00467A3E" w:rsidP="000F2EF3">
      <w:pPr>
        <w:pStyle w:val="ListParagraph"/>
        <w:numPr>
          <w:ilvl w:val="0"/>
          <w:numId w:val="4"/>
        </w:numPr>
        <w:ind w:left="720"/>
        <w:rPr>
          <w:rFonts w:ascii="Arial" w:hAnsi="Arial" w:cs="Arial"/>
          <w:sz w:val="24"/>
          <w:szCs w:val="24"/>
        </w:rPr>
      </w:pPr>
      <w:r w:rsidRPr="007368C9">
        <w:rPr>
          <w:rFonts w:ascii="Arial" w:hAnsi="Arial" w:cs="Arial"/>
          <w:sz w:val="24"/>
          <w:szCs w:val="24"/>
        </w:rPr>
        <w:lastRenderedPageBreak/>
        <w:t>In both cases</w:t>
      </w:r>
      <w:r w:rsidR="00824C6A" w:rsidRPr="007368C9">
        <w:rPr>
          <w:rFonts w:ascii="Arial" w:hAnsi="Arial" w:cs="Arial"/>
          <w:sz w:val="24"/>
          <w:szCs w:val="24"/>
        </w:rPr>
        <w:t xml:space="preserve"> the project </w:t>
      </w:r>
      <w:r w:rsidR="00492C72" w:rsidRPr="007368C9">
        <w:rPr>
          <w:rFonts w:ascii="Arial" w:hAnsi="Arial" w:cs="Arial"/>
          <w:sz w:val="24"/>
          <w:szCs w:val="24"/>
        </w:rPr>
        <w:t>may</w:t>
      </w:r>
      <w:r w:rsidR="00824C6A" w:rsidRPr="007368C9">
        <w:rPr>
          <w:rFonts w:ascii="Arial" w:hAnsi="Arial" w:cs="Arial"/>
          <w:sz w:val="24"/>
          <w:szCs w:val="24"/>
        </w:rPr>
        <w:t xml:space="preserve"> receive </w:t>
      </w:r>
      <w:r w:rsidRPr="007368C9">
        <w:rPr>
          <w:rFonts w:ascii="Arial" w:hAnsi="Arial" w:cs="Arial"/>
          <w:sz w:val="24"/>
          <w:szCs w:val="24"/>
        </w:rPr>
        <w:t xml:space="preserve">ARB offset </w:t>
      </w:r>
      <w:r w:rsidR="00824C6A" w:rsidRPr="007368C9">
        <w:rPr>
          <w:rFonts w:ascii="Arial" w:hAnsi="Arial" w:cs="Arial"/>
          <w:sz w:val="24"/>
          <w:szCs w:val="24"/>
        </w:rPr>
        <w:t xml:space="preserve">credits </w:t>
      </w:r>
      <w:r w:rsidR="000D07C3" w:rsidRPr="007368C9">
        <w:rPr>
          <w:rFonts w:ascii="Arial" w:hAnsi="Arial" w:cs="Arial"/>
          <w:sz w:val="24"/>
          <w:szCs w:val="24"/>
        </w:rPr>
        <w:t>for increases</w:t>
      </w:r>
      <w:r w:rsidR="005A50E2" w:rsidRPr="007368C9">
        <w:rPr>
          <w:rFonts w:ascii="Arial" w:hAnsi="Arial" w:cs="Arial"/>
          <w:sz w:val="24"/>
          <w:szCs w:val="24"/>
        </w:rPr>
        <w:t xml:space="preserve"> (growth)</w:t>
      </w:r>
      <w:r w:rsidR="000D07C3" w:rsidRPr="007368C9">
        <w:rPr>
          <w:rFonts w:ascii="Arial" w:hAnsi="Arial" w:cs="Arial"/>
          <w:sz w:val="24"/>
          <w:szCs w:val="24"/>
        </w:rPr>
        <w:t xml:space="preserve"> in project carbon </w:t>
      </w:r>
      <w:r w:rsidR="00F21AAB" w:rsidRPr="007368C9">
        <w:rPr>
          <w:rFonts w:ascii="Arial" w:hAnsi="Arial" w:cs="Arial"/>
          <w:sz w:val="24"/>
          <w:szCs w:val="24"/>
        </w:rPr>
        <w:t xml:space="preserve">stocks </w:t>
      </w:r>
      <w:r w:rsidR="000D07C3" w:rsidRPr="007368C9">
        <w:rPr>
          <w:rFonts w:ascii="Arial" w:hAnsi="Arial" w:cs="Arial"/>
          <w:sz w:val="24"/>
          <w:szCs w:val="24"/>
        </w:rPr>
        <w:t xml:space="preserve">going forward.  Any subsequent increases in </w:t>
      </w:r>
      <w:r w:rsidR="00492C72" w:rsidRPr="007368C9">
        <w:rPr>
          <w:rFonts w:ascii="Arial" w:hAnsi="Arial" w:cs="Arial"/>
          <w:sz w:val="24"/>
          <w:szCs w:val="24"/>
        </w:rPr>
        <w:t>carbon stocks</w:t>
      </w:r>
      <w:r w:rsidR="000D07C3" w:rsidRPr="007368C9">
        <w:rPr>
          <w:rFonts w:ascii="Arial" w:hAnsi="Arial" w:cs="Arial"/>
          <w:sz w:val="24"/>
          <w:szCs w:val="24"/>
        </w:rPr>
        <w:t xml:space="preserve"> will be credited consistent with </w:t>
      </w:r>
      <w:r w:rsidR="004B53D5" w:rsidRPr="007368C9">
        <w:rPr>
          <w:rFonts w:ascii="Arial" w:hAnsi="Arial" w:cs="Arial"/>
          <w:sz w:val="24"/>
          <w:szCs w:val="24"/>
        </w:rPr>
        <w:t xml:space="preserve">quantification </w:t>
      </w:r>
      <w:r w:rsidRPr="007368C9">
        <w:rPr>
          <w:rFonts w:ascii="Arial" w:hAnsi="Arial" w:cs="Arial"/>
          <w:sz w:val="24"/>
          <w:szCs w:val="24"/>
        </w:rPr>
        <w:t>methods</w:t>
      </w:r>
      <w:r w:rsidR="000D07C3" w:rsidRPr="007368C9">
        <w:rPr>
          <w:rFonts w:ascii="Arial" w:hAnsi="Arial" w:cs="Arial"/>
          <w:sz w:val="24"/>
          <w:szCs w:val="24"/>
        </w:rPr>
        <w:t xml:space="preserve"> under the COP.</w:t>
      </w:r>
    </w:p>
    <w:p w:rsidR="00B365B7" w:rsidRPr="007368C9" w:rsidRDefault="00492C72" w:rsidP="000F2EF3">
      <w:pPr>
        <w:rPr>
          <w:rFonts w:ascii="Arial" w:hAnsi="Arial" w:cs="Arial"/>
          <w:sz w:val="24"/>
          <w:szCs w:val="24"/>
        </w:rPr>
      </w:pPr>
      <w:r w:rsidRPr="007368C9">
        <w:rPr>
          <w:rFonts w:ascii="Arial" w:hAnsi="Arial" w:cs="Arial"/>
          <w:sz w:val="24"/>
          <w:szCs w:val="24"/>
        </w:rPr>
        <w:t xml:space="preserve">The following </w:t>
      </w:r>
      <w:r w:rsidR="007A7D2B" w:rsidRPr="007368C9">
        <w:rPr>
          <w:rFonts w:ascii="Arial" w:hAnsi="Arial" w:cs="Arial"/>
          <w:sz w:val="24"/>
          <w:szCs w:val="24"/>
        </w:rPr>
        <w:t>section</w:t>
      </w:r>
      <w:r w:rsidRPr="007368C9">
        <w:rPr>
          <w:rFonts w:ascii="Arial" w:hAnsi="Arial" w:cs="Arial"/>
          <w:sz w:val="24"/>
          <w:szCs w:val="24"/>
        </w:rPr>
        <w:t>s explain</w:t>
      </w:r>
      <w:r w:rsidR="007A7D2B" w:rsidRPr="007368C9">
        <w:rPr>
          <w:rFonts w:ascii="Arial" w:hAnsi="Arial" w:cs="Arial"/>
          <w:sz w:val="24"/>
          <w:szCs w:val="24"/>
        </w:rPr>
        <w:t xml:space="preserve"> the steps </w:t>
      </w:r>
      <w:r w:rsidR="00F0060E">
        <w:rPr>
          <w:rFonts w:ascii="Arial" w:hAnsi="Arial" w:cs="Arial"/>
          <w:sz w:val="24"/>
          <w:szCs w:val="24"/>
        </w:rPr>
        <w:t xml:space="preserve">an </w:t>
      </w:r>
      <w:r w:rsidR="00D714DE" w:rsidRPr="007368C9">
        <w:rPr>
          <w:rFonts w:ascii="Arial" w:hAnsi="Arial" w:cs="Arial"/>
          <w:sz w:val="24"/>
          <w:szCs w:val="24"/>
        </w:rPr>
        <w:t>early action</w:t>
      </w:r>
      <w:r w:rsidR="007A7D2B" w:rsidRPr="007368C9">
        <w:rPr>
          <w:rFonts w:ascii="Arial" w:hAnsi="Arial" w:cs="Arial"/>
          <w:sz w:val="24"/>
          <w:szCs w:val="24"/>
        </w:rPr>
        <w:t xml:space="preserve"> </w:t>
      </w:r>
      <w:r w:rsidR="00467A3E" w:rsidRPr="007368C9">
        <w:rPr>
          <w:rFonts w:ascii="Arial" w:hAnsi="Arial" w:cs="Arial"/>
          <w:sz w:val="24"/>
          <w:szCs w:val="24"/>
        </w:rPr>
        <w:t xml:space="preserve">offset </w:t>
      </w:r>
      <w:r w:rsidR="007A7D2B" w:rsidRPr="007368C9">
        <w:rPr>
          <w:rFonts w:ascii="Arial" w:hAnsi="Arial" w:cs="Arial"/>
          <w:sz w:val="24"/>
          <w:szCs w:val="24"/>
        </w:rPr>
        <w:t>project</w:t>
      </w:r>
      <w:r w:rsidR="00F0060E">
        <w:rPr>
          <w:rFonts w:ascii="Arial" w:hAnsi="Arial" w:cs="Arial"/>
          <w:sz w:val="24"/>
          <w:szCs w:val="24"/>
        </w:rPr>
        <w:t xml:space="preserve"> would</w:t>
      </w:r>
      <w:r w:rsidR="007A7D2B" w:rsidRPr="007368C9">
        <w:rPr>
          <w:rFonts w:ascii="Arial" w:hAnsi="Arial" w:cs="Arial"/>
          <w:sz w:val="24"/>
          <w:szCs w:val="24"/>
        </w:rPr>
        <w:t xml:space="preserve"> need to </w:t>
      </w:r>
      <w:r w:rsidR="005423FD">
        <w:rPr>
          <w:rFonts w:ascii="Arial" w:hAnsi="Arial" w:cs="Arial"/>
          <w:sz w:val="24"/>
          <w:szCs w:val="24"/>
        </w:rPr>
        <w:t>take to recalculate the project’s baseline as required by</w:t>
      </w:r>
      <w:r w:rsidR="007A7D2B" w:rsidRPr="007368C9">
        <w:rPr>
          <w:rFonts w:ascii="Arial" w:hAnsi="Arial" w:cs="Arial"/>
          <w:sz w:val="24"/>
          <w:szCs w:val="24"/>
        </w:rPr>
        <w:t xml:space="preserve"> </w:t>
      </w:r>
      <w:r w:rsidRPr="007368C9">
        <w:rPr>
          <w:rFonts w:ascii="Arial" w:hAnsi="Arial" w:cs="Arial"/>
          <w:sz w:val="24"/>
          <w:szCs w:val="24"/>
        </w:rPr>
        <w:t>COP</w:t>
      </w:r>
      <w:r w:rsidR="007A7D2B" w:rsidRPr="007368C9">
        <w:rPr>
          <w:rFonts w:ascii="Arial" w:hAnsi="Arial" w:cs="Arial"/>
          <w:sz w:val="24"/>
          <w:szCs w:val="24"/>
        </w:rPr>
        <w:t>.</w:t>
      </w:r>
      <w:r w:rsidR="00BA349F" w:rsidRPr="007368C9">
        <w:rPr>
          <w:rFonts w:ascii="Arial" w:hAnsi="Arial" w:cs="Arial"/>
          <w:sz w:val="24"/>
          <w:szCs w:val="24"/>
        </w:rPr>
        <w:t xml:space="preserve"> </w:t>
      </w:r>
    </w:p>
    <w:p w:rsidR="0017232E" w:rsidRPr="008E2C69" w:rsidRDefault="0017232E" w:rsidP="00012778">
      <w:pPr>
        <w:pStyle w:val="Heading2"/>
        <w:numPr>
          <w:ilvl w:val="1"/>
          <w:numId w:val="1"/>
        </w:numPr>
        <w:ind w:left="1080" w:hanging="720"/>
        <w:rPr>
          <w:rFonts w:ascii="Arial" w:hAnsi="Arial" w:cs="Arial"/>
        </w:rPr>
      </w:pPr>
      <w:bookmarkStart w:id="8" w:name="_Toc410056640"/>
      <w:bookmarkStart w:id="9" w:name="_Toc410056641"/>
      <w:bookmarkStart w:id="10" w:name="_Toc410056642"/>
      <w:bookmarkStart w:id="11" w:name="_Toc410056643"/>
      <w:bookmarkStart w:id="12" w:name="_Toc414534273"/>
      <w:bookmarkEnd w:id="8"/>
      <w:bookmarkEnd w:id="9"/>
      <w:bookmarkEnd w:id="10"/>
      <w:bookmarkEnd w:id="11"/>
      <w:r w:rsidRPr="008E2C69">
        <w:rPr>
          <w:rFonts w:ascii="Arial" w:hAnsi="Arial" w:cs="Arial"/>
        </w:rPr>
        <w:t>High Stocking Reference</w:t>
      </w:r>
      <w:bookmarkEnd w:id="12"/>
      <w:r w:rsidRPr="008E2C69">
        <w:rPr>
          <w:rFonts w:ascii="Arial" w:hAnsi="Arial" w:cs="Arial"/>
        </w:rPr>
        <w:t xml:space="preserve"> </w:t>
      </w:r>
    </w:p>
    <w:p w:rsidR="0017232E" w:rsidRPr="007368C9" w:rsidRDefault="00A63B0E" w:rsidP="00B76EED">
      <w:pPr>
        <w:ind w:left="360"/>
        <w:rPr>
          <w:rFonts w:ascii="Arial" w:hAnsi="Arial" w:cs="Arial"/>
          <w:sz w:val="24"/>
          <w:szCs w:val="24"/>
        </w:rPr>
      </w:pPr>
      <w:r w:rsidRPr="007368C9">
        <w:rPr>
          <w:rFonts w:ascii="Arial" w:hAnsi="Arial" w:cs="Arial"/>
          <w:sz w:val="24"/>
          <w:szCs w:val="24"/>
        </w:rPr>
        <w:t xml:space="preserve">This section is </w:t>
      </w:r>
      <w:r w:rsidR="003E17E8" w:rsidRPr="007368C9">
        <w:rPr>
          <w:rFonts w:ascii="Arial" w:hAnsi="Arial" w:cs="Arial"/>
          <w:sz w:val="24"/>
          <w:szCs w:val="24"/>
        </w:rPr>
        <w:t xml:space="preserve">only </w:t>
      </w:r>
      <w:r w:rsidR="00481077" w:rsidRPr="007368C9">
        <w:rPr>
          <w:rFonts w:ascii="Arial" w:hAnsi="Arial" w:cs="Arial"/>
          <w:sz w:val="24"/>
          <w:szCs w:val="24"/>
        </w:rPr>
        <w:t xml:space="preserve">applicable to </w:t>
      </w:r>
      <w:r w:rsidR="001B03AF" w:rsidRPr="007368C9">
        <w:rPr>
          <w:rFonts w:ascii="Arial" w:hAnsi="Arial" w:cs="Arial"/>
          <w:sz w:val="24"/>
          <w:szCs w:val="24"/>
        </w:rPr>
        <w:t>CAR</w:t>
      </w:r>
      <w:r w:rsidR="00492C72" w:rsidRPr="007368C9">
        <w:rPr>
          <w:rFonts w:ascii="Arial" w:hAnsi="Arial" w:cs="Arial"/>
          <w:sz w:val="24"/>
          <w:szCs w:val="24"/>
        </w:rPr>
        <w:t xml:space="preserve"> Forest Project Protocol Version </w:t>
      </w:r>
      <w:r w:rsidR="00481077" w:rsidRPr="007368C9">
        <w:rPr>
          <w:rFonts w:ascii="Arial" w:hAnsi="Arial" w:cs="Arial"/>
          <w:sz w:val="24"/>
          <w:szCs w:val="24"/>
        </w:rPr>
        <w:t>3.x</w:t>
      </w:r>
      <w:r w:rsidRPr="007368C9">
        <w:rPr>
          <w:rFonts w:ascii="Arial" w:hAnsi="Arial" w:cs="Arial"/>
          <w:sz w:val="24"/>
          <w:szCs w:val="24"/>
        </w:rPr>
        <w:t xml:space="preserve"> </w:t>
      </w:r>
      <w:r w:rsidR="00481077" w:rsidRPr="007368C9">
        <w:rPr>
          <w:rFonts w:ascii="Arial" w:hAnsi="Arial" w:cs="Arial"/>
          <w:sz w:val="24"/>
          <w:szCs w:val="24"/>
        </w:rPr>
        <w:t xml:space="preserve">Improved Forest Management </w:t>
      </w:r>
      <w:r w:rsidRPr="007368C9">
        <w:rPr>
          <w:rFonts w:ascii="Arial" w:hAnsi="Arial" w:cs="Arial"/>
          <w:sz w:val="24"/>
          <w:szCs w:val="24"/>
        </w:rPr>
        <w:t>early action</w:t>
      </w:r>
      <w:r w:rsidR="00E33B66" w:rsidRPr="007368C9">
        <w:rPr>
          <w:rFonts w:ascii="Arial" w:hAnsi="Arial" w:cs="Arial"/>
          <w:sz w:val="24"/>
          <w:szCs w:val="24"/>
        </w:rPr>
        <w:t xml:space="preserve"> projects</w:t>
      </w:r>
      <w:r w:rsidRPr="007368C9">
        <w:rPr>
          <w:rFonts w:ascii="Arial" w:hAnsi="Arial" w:cs="Arial"/>
          <w:sz w:val="24"/>
          <w:szCs w:val="24"/>
        </w:rPr>
        <w:t xml:space="preserve"> </w:t>
      </w:r>
      <w:r w:rsidR="00E33B66" w:rsidRPr="007368C9">
        <w:rPr>
          <w:rFonts w:ascii="Arial" w:hAnsi="Arial" w:cs="Arial"/>
          <w:sz w:val="24"/>
          <w:szCs w:val="24"/>
        </w:rPr>
        <w:t xml:space="preserve">(CAR V3.x IFM </w:t>
      </w:r>
      <w:r w:rsidRPr="007368C9">
        <w:rPr>
          <w:rFonts w:ascii="Arial" w:hAnsi="Arial" w:cs="Arial"/>
          <w:sz w:val="24"/>
          <w:szCs w:val="24"/>
        </w:rPr>
        <w:t>projects</w:t>
      </w:r>
      <w:r w:rsidR="00E33B66" w:rsidRPr="007368C9">
        <w:rPr>
          <w:rFonts w:ascii="Arial" w:hAnsi="Arial" w:cs="Arial"/>
          <w:sz w:val="24"/>
          <w:szCs w:val="24"/>
        </w:rPr>
        <w:t>)</w:t>
      </w:r>
      <w:r w:rsidR="00481077" w:rsidRPr="007368C9">
        <w:rPr>
          <w:rFonts w:ascii="Arial" w:hAnsi="Arial" w:cs="Arial"/>
          <w:sz w:val="24"/>
          <w:szCs w:val="24"/>
        </w:rPr>
        <w:t xml:space="preserve"> </w:t>
      </w:r>
      <w:r w:rsidR="000D6BC8" w:rsidRPr="007368C9">
        <w:rPr>
          <w:rFonts w:ascii="Arial" w:hAnsi="Arial" w:cs="Arial"/>
          <w:sz w:val="24"/>
          <w:szCs w:val="24"/>
        </w:rPr>
        <w:t>whose</w:t>
      </w:r>
      <w:r w:rsidR="008B1608">
        <w:rPr>
          <w:rFonts w:ascii="Arial" w:hAnsi="Arial" w:cs="Arial"/>
          <w:sz w:val="24"/>
          <w:szCs w:val="24"/>
        </w:rPr>
        <w:t xml:space="preserve"> </w:t>
      </w:r>
      <w:r w:rsidR="000D6BC8" w:rsidRPr="007368C9">
        <w:rPr>
          <w:rFonts w:ascii="Arial" w:hAnsi="Arial" w:cs="Arial"/>
          <w:sz w:val="24"/>
          <w:szCs w:val="24"/>
        </w:rPr>
        <w:t xml:space="preserve">inventories of </w:t>
      </w:r>
      <w:r w:rsidR="002030ED" w:rsidRPr="007368C9">
        <w:rPr>
          <w:rFonts w:ascii="Arial" w:hAnsi="Arial" w:cs="Arial"/>
          <w:sz w:val="24"/>
          <w:szCs w:val="24"/>
        </w:rPr>
        <w:t xml:space="preserve">standing live and dead carbon stocks </w:t>
      </w:r>
      <w:r w:rsidR="00481077" w:rsidRPr="007368C9">
        <w:rPr>
          <w:rFonts w:ascii="Arial" w:hAnsi="Arial" w:cs="Arial"/>
          <w:sz w:val="24"/>
          <w:szCs w:val="24"/>
        </w:rPr>
        <w:t>were below Common Pra</w:t>
      </w:r>
      <w:r w:rsidR="00197CC6" w:rsidRPr="007368C9">
        <w:rPr>
          <w:rFonts w:ascii="Arial" w:hAnsi="Arial" w:cs="Arial"/>
          <w:sz w:val="24"/>
          <w:szCs w:val="24"/>
        </w:rPr>
        <w:t xml:space="preserve">ctice </w:t>
      </w:r>
      <w:r w:rsidR="00492C72" w:rsidRPr="007368C9">
        <w:rPr>
          <w:rFonts w:ascii="Arial" w:hAnsi="Arial" w:cs="Arial"/>
          <w:sz w:val="24"/>
          <w:szCs w:val="24"/>
        </w:rPr>
        <w:t xml:space="preserve">(CP) </w:t>
      </w:r>
      <w:r w:rsidR="00197CC6" w:rsidRPr="007368C9">
        <w:rPr>
          <w:rFonts w:ascii="Arial" w:hAnsi="Arial" w:cs="Arial"/>
          <w:sz w:val="24"/>
          <w:szCs w:val="24"/>
        </w:rPr>
        <w:t xml:space="preserve">at </w:t>
      </w:r>
      <w:r w:rsidR="003E17E8" w:rsidRPr="007368C9">
        <w:rPr>
          <w:rFonts w:ascii="Arial" w:hAnsi="Arial" w:cs="Arial"/>
          <w:sz w:val="24"/>
          <w:szCs w:val="24"/>
        </w:rPr>
        <w:t xml:space="preserve">project </w:t>
      </w:r>
      <w:r w:rsidR="00197CC6" w:rsidRPr="007368C9">
        <w:rPr>
          <w:rFonts w:ascii="Arial" w:hAnsi="Arial" w:cs="Arial"/>
          <w:sz w:val="24"/>
          <w:szCs w:val="24"/>
        </w:rPr>
        <w:t>commencement date</w:t>
      </w:r>
      <w:r w:rsidRPr="007368C9">
        <w:rPr>
          <w:rFonts w:ascii="Arial" w:hAnsi="Arial" w:cs="Arial"/>
          <w:sz w:val="24"/>
          <w:szCs w:val="24"/>
        </w:rPr>
        <w:t>.</w:t>
      </w:r>
      <w:r w:rsidR="005423FD">
        <w:rPr>
          <w:rFonts w:ascii="Arial" w:hAnsi="Arial" w:cs="Arial"/>
          <w:sz w:val="24"/>
          <w:szCs w:val="24"/>
        </w:rPr>
        <w:t xml:space="preserve"> </w:t>
      </w:r>
      <w:r w:rsidR="0043129A" w:rsidRPr="007368C9">
        <w:rPr>
          <w:rFonts w:ascii="Arial" w:hAnsi="Arial" w:cs="Arial"/>
          <w:sz w:val="24"/>
          <w:szCs w:val="24"/>
        </w:rPr>
        <w:t xml:space="preserve"> </w:t>
      </w:r>
      <w:r w:rsidR="00F1794C" w:rsidRPr="007368C9">
        <w:rPr>
          <w:rFonts w:ascii="Arial" w:hAnsi="Arial" w:cs="Arial"/>
          <w:sz w:val="24"/>
          <w:szCs w:val="24"/>
        </w:rPr>
        <w:t>T</w:t>
      </w:r>
      <w:r w:rsidR="009047BD" w:rsidRPr="007368C9">
        <w:rPr>
          <w:rFonts w:ascii="Arial" w:hAnsi="Arial" w:cs="Arial"/>
          <w:sz w:val="24"/>
          <w:szCs w:val="24"/>
        </w:rPr>
        <w:t>h</w:t>
      </w:r>
      <w:r w:rsidR="0043129A" w:rsidRPr="007368C9">
        <w:rPr>
          <w:rFonts w:ascii="Arial" w:hAnsi="Arial" w:cs="Arial"/>
          <w:sz w:val="24"/>
          <w:szCs w:val="24"/>
        </w:rPr>
        <w:t xml:space="preserve">is section will </w:t>
      </w:r>
      <w:r w:rsidR="009047BD" w:rsidRPr="007368C9">
        <w:rPr>
          <w:rFonts w:ascii="Arial" w:hAnsi="Arial" w:cs="Arial"/>
          <w:sz w:val="24"/>
          <w:szCs w:val="24"/>
        </w:rPr>
        <w:t xml:space="preserve">help </w:t>
      </w:r>
      <w:r w:rsidR="005423FD">
        <w:rPr>
          <w:rFonts w:ascii="Arial" w:hAnsi="Arial" w:cs="Arial"/>
          <w:sz w:val="24"/>
          <w:szCs w:val="24"/>
        </w:rPr>
        <w:t>the OPO</w:t>
      </w:r>
      <w:r w:rsidR="003E17E8" w:rsidRPr="007368C9">
        <w:rPr>
          <w:rFonts w:ascii="Arial" w:hAnsi="Arial" w:cs="Arial"/>
          <w:sz w:val="24"/>
          <w:szCs w:val="24"/>
        </w:rPr>
        <w:t xml:space="preserve"> </w:t>
      </w:r>
      <w:r w:rsidR="009047BD" w:rsidRPr="007368C9">
        <w:rPr>
          <w:rFonts w:ascii="Arial" w:hAnsi="Arial" w:cs="Arial"/>
          <w:sz w:val="24"/>
          <w:szCs w:val="24"/>
        </w:rPr>
        <w:t xml:space="preserve">determine if the </w:t>
      </w:r>
      <w:r w:rsidR="0043129A" w:rsidRPr="007368C9">
        <w:rPr>
          <w:rFonts w:ascii="Arial" w:hAnsi="Arial" w:cs="Arial"/>
          <w:sz w:val="24"/>
          <w:szCs w:val="24"/>
        </w:rPr>
        <w:t>H</w:t>
      </w:r>
      <w:r w:rsidR="009047BD" w:rsidRPr="007368C9">
        <w:rPr>
          <w:rFonts w:ascii="Arial" w:hAnsi="Arial" w:cs="Arial"/>
          <w:sz w:val="24"/>
          <w:szCs w:val="24"/>
        </w:rPr>
        <w:t xml:space="preserve">SR calculated according to the COP will require the </w:t>
      </w:r>
      <w:r w:rsidR="0043129A" w:rsidRPr="007368C9">
        <w:rPr>
          <w:rFonts w:ascii="Arial" w:hAnsi="Arial" w:cs="Arial"/>
          <w:sz w:val="24"/>
          <w:szCs w:val="24"/>
        </w:rPr>
        <w:t xml:space="preserve">OPO to recalculate </w:t>
      </w:r>
      <w:r w:rsidR="00451798">
        <w:rPr>
          <w:rFonts w:ascii="Arial" w:hAnsi="Arial" w:cs="Arial"/>
          <w:sz w:val="24"/>
          <w:szCs w:val="24"/>
        </w:rPr>
        <w:t>its</w:t>
      </w:r>
      <w:r w:rsidR="0043129A" w:rsidRPr="007368C9">
        <w:rPr>
          <w:rFonts w:ascii="Arial" w:hAnsi="Arial" w:cs="Arial"/>
          <w:sz w:val="24"/>
          <w:szCs w:val="24"/>
        </w:rPr>
        <w:t xml:space="preserve"> </w:t>
      </w:r>
      <w:r w:rsidR="00F0060E">
        <w:rPr>
          <w:rFonts w:ascii="Arial" w:hAnsi="Arial" w:cs="Arial"/>
          <w:sz w:val="24"/>
          <w:szCs w:val="24"/>
        </w:rPr>
        <w:t>early action offset project</w:t>
      </w:r>
      <w:r w:rsidR="0043129A" w:rsidRPr="007368C9">
        <w:rPr>
          <w:rFonts w:ascii="Arial" w:hAnsi="Arial" w:cs="Arial"/>
          <w:sz w:val="24"/>
          <w:szCs w:val="24"/>
        </w:rPr>
        <w:t xml:space="preserve">’s </w:t>
      </w:r>
      <w:r w:rsidR="009047BD" w:rsidRPr="007368C9">
        <w:rPr>
          <w:rFonts w:ascii="Arial" w:hAnsi="Arial" w:cs="Arial"/>
          <w:sz w:val="24"/>
          <w:szCs w:val="24"/>
        </w:rPr>
        <w:t>baseline</w:t>
      </w:r>
      <w:r w:rsidR="00492C72" w:rsidRPr="007368C9">
        <w:rPr>
          <w:rFonts w:ascii="Arial" w:hAnsi="Arial" w:cs="Arial"/>
          <w:sz w:val="24"/>
          <w:szCs w:val="24"/>
        </w:rPr>
        <w:t xml:space="preserve">.  </w:t>
      </w:r>
      <w:r w:rsidR="0043129A" w:rsidRPr="007368C9">
        <w:rPr>
          <w:rFonts w:ascii="Arial" w:hAnsi="Arial" w:cs="Arial"/>
          <w:sz w:val="24"/>
          <w:szCs w:val="24"/>
        </w:rPr>
        <w:t>Because V</w:t>
      </w:r>
      <w:r w:rsidR="00467A3E" w:rsidRPr="007368C9">
        <w:rPr>
          <w:rFonts w:ascii="Arial" w:hAnsi="Arial" w:cs="Arial"/>
          <w:sz w:val="24"/>
          <w:szCs w:val="24"/>
        </w:rPr>
        <w:t xml:space="preserve">ersion </w:t>
      </w:r>
      <w:r w:rsidR="009047BD" w:rsidRPr="007368C9">
        <w:rPr>
          <w:rFonts w:ascii="Arial" w:hAnsi="Arial" w:cs="Arial"/>
          <w:sz w:val="24"/>
          <w:szCs w:val="24"/>
        </w:rPr>
        <w:t xml:space="preserve">2.1 projects </w:t>
      </w:r>
      <w:r w:rsidR="005248C1" w:rsidRPr="007368C9">
        <w:rPr>
          <w:rFonts w:ascii="Arial" w:hAnsi="Arial" w:cs="Arial"/>
          <w:sz w:val="24"/>
          <w:szCs w:val="24"/>
        </w:rPr>
        <w:t>must consider all requirements in the COP regarding baseline development</w:t>
      </w:r>
      <w:r w:rsidR="0043129A" w:rsidRPr="007368C9">
        <w:rPr>
          <w:rFonts w:ascii="Arial" w:hAnsi="Arial" w:cs="Arial"/>
          <w:sz w:val="24"/>
          <w:szCs w:val="24"/>
        </w:rPr>
        <w:t xml:space="preserve"> in order to transition</w:t>
      </w:r>
      <w:r w:rsidR="005248C1" w:rsidRPr="007368C9">
        <w:rPr>
          <w:rFonts w:ascii="Arial" w:hAnsi="Arial" w:cs="Arial"/>
          <w:sz w:val="24"/>
          <w:szCs w:val="24"/>
        </w:rPr>
        <w:t xml:space="preserve">, including </w:t>
      </w:r>
      <w:r w:rsidR="00467A3E" w:rsidRPr="007368C9">
        <w:rPr>
          <w:rFonts w:ascii="Arial" w:hAnsi="Arial" w:cs="Arial"/>
          <w:sz w:val="24"/>
          <w:szCs w:val="24"/>
        </w:rPr>
        <w:t>HSR</w:t>
      </w:r>
      <w:r w:rsidR="005248C1" w:rsidRPr="007368C9">
        <w:rPr>
          <w:rFonts w:ascii="Arial" w:hAnsi="Arial" w:cs="Arial"/>
          <w:sz w:val="24"/>
          <w:szCs w:val="24"/>
        </w:rPr>
        <w:t xml:space="preserve">, </w:t>
      </w:r>
      <w:r w:rsidR="0043129A" w:rsidRPr="007368C9">
        <w:rPr>
          <w:rFonts w:ascii="Arial" w:hAnsi="Arial" w:cs="Arial"/>
          <w:sz w:val="24"/>
          <w:szCs w:val="24"/>
        </w:rPr>
        <w:t>Version 2.1 project</w:t>
      </w:r>
      <w:r w:rsidR="00A1284A">
        <w:rPr>
          <w:rFonts w:ascii="Arial" w:hAnsi="Arial" w:cs="Arial"/>
          <w:sz w:val="24"/>
          <w:szCs w:val="24"/>
        </w:rPr>
        <w:t>s</w:t>
      </w:r>
      <w:r w:rsidR="0043129A" w:rsidRPr="007368C9">
        <w:rPr>
          <w:rFonts w:ascii="Arial" w:hAnsi="Arial" w:cs="Arial"/>
          <w:sz w:val="24"/>
          <w:szCs w:val="24"/>
        </w:rPr>
        <w:t xml:space="preserve"> can skip this section and </w:t>
      </w:r>
      <w:r w:rsidR="00F27C60" w:rsidRPr="007368C9">
        <w:rPr>
          <w:rFonts w:ascii="Arial" w:hAnsi="Arial" w:cs="Arial"/>
          <w:sz w:val="24"/>
          <w:szCs w:val="24"/>
        </w:rPr>
        <w:t xml:space="preserve">proceed to </w:t>
      </w:r>
      <w:r w:rsidR="00F0060E">
        <w:rPr>
          <w:rFonts w:ascii="Arial" w:hAnsi="Arial" w:cs="Arial"/>
          <w:sz w:val="24"/>
          <w:szCs w:val="24"/>
        </w:rPr>
        <w:t xml:space="preserve">the </w:t>
      </w:r>
      <w:r w:rsidR="00F27C60" w:rsidRPr="007368C9">
        <w:rPr>
          <w:rFonts w:ascii="Arial" w:hAnsi="Arial" w:cs="Arial"/>
          <w:sz w:val="24"/>
          <w:szCs w:val="24"/>
        </w:rPr>
        <w:t xml:space="preserve">‘Develop a Representative Commencement Date </w:t>
      </w:r>
      <w:r w:rsidR="00341EF5" w:rsidRPr="007368C9">
        <w:rPr>
          <w:rFonts w:ascii="Arial" w:hAnsi="Arial" w:cs="Arial"/>
          <w:sz w:val="24"/>
          <w:szCs w:val="24"/>
        </w:rPr>
        <w:t>Inventory’</w:t>
      </w:r>
      <w:r w:rsidR="005248C1" w:rsidRPr="007368C9">
        <w:rPr>
          <w:rFonts w:ascii="Arial" w:hAnsi="Arial" w:cs="Arial"/>
          <w:sz w:val="24"/>
          <w:szCs w:val="24"/>
        </w:rPr>
        <w:t xml:space="preserve"> section of this </w:t>
      </w:r>
      <w:r w:rsidR="00197CC6" w:rsidRPr="007368C9">
        <w:rPr>
          <w:rFonts w:ascii="Arial" w:hAnsi="Arial" w:cs="Arial"/>
          <w:sz w:val="24"/>
          <w:szCs w:val="24"/>
        </w:rPr>
        <w:t>guidance</w:t>
      </w:r>
      <w:r w:rsidR="00467A3E" w:rsidRPr="007368C9">
        <w:rPr>
          <w:rFonts w:ascii="Arial" w:hAnsi="Arial" w:cs="Arial"/>
          <w:sz w:val="24"/>
          <w:szCs w:val="24"/>
        </w:rPr>
        <w:t xml:space="preserve"> below</w:t>
      </w:r>
      <w:r w:rsidR="00197CC6" w:rsidRPr="007368C9">
        <w:rPr>
          <w:rFonts w:ascii="Arial" w:hAnsi="Arial" w:cs="Arial"/>
          <w:sz w:val="24"/>
          <w:szCs w:val="24"/>
        </w:rPr>
        <w:t xml:space="preserve">. </w:t>
      </w:r>
    </w:p>
    <w:p w:rsidR="0017232E" w:rsidRPr="007368C9" w:rsidRDefault="008B1608" w:rsidP="00B76EED">
      <w:pPr>
        <w:ind w:left="360"/>
        <w:rPr>
          <w:rFonts w:ascii="Arial" w:hAnsi="Arial" w:cs="Arial"/>
          <w:sz w:val="24"/>
          <w:szCs w:val="24"/>
        </w:rPr>
      </w:pPr>
      <w:r>
        <w:rPr>
          <w:rFonts w:ascii="Arial" w:hAnsi="Arial" w:cs="Arial"/>
          <w:sz w:val="24"/>
          <w:szCs w:val="24"/>
        </w:rPr>
        <w:t xml:space="preserve">CAR V3.x IFM Early Action projects which had </w:t>
      </w:r>
      <w:r w:rsidR="00C3040E">
        <w:rPr>
          <w:rFonts w:ascii="Arial" w:hAnsi="Arial" w:cs="Arial"/>
          <w:sz w:val="24"/>
          <w:szCs w:val="24"/>
        </w:rPr>
        <w:t>initial carbon stocks (ICS)</w:t>
      </w:r>
      <w:r w:rsidR="00A1284A">
        <w:rPr>
          <w:rFonts w:ascii="Arial" w:hAnsi="Arial" w:cs="Arial"/>
          <w:sz w:val="24"/>
          <w:szCs w:val="24"/>
        </w:rPr>
        <w:t xml:space="preserve"> for</w:t>
      </w:r>
      <w:r w:rsidR="00C3040E">
        <w:rPr>
          <w:rFonts w:ascii="Arial" w:hAnsi="Arial" w:cs="Arial"/>
          <w:sz w:val="24"/>
          <w:szCs w:val="24"/>
        </w:rPr>
        <w:t xml:space="preserve"> </w:t>
      </w:r>
      <w:r w:rsidR="00E33B66" w:rsidRPr="007368C9">
        <w:rPr>
          <w:rFonts w:ascii="Arial" w:hAnsi="Arial" w:cs="Arial"/>
          <w:sz w:val="24"/>
          <w:szCs w:val="24"/>
        </w:rPr>
        <w:t xml:space="preserve">aboveground </w:t>
      </w:r>
      <w:r w:rsidR="00B1394E">
        <w:rPr>
          <w:rFonts w:ascii="Arial" w:hAnsi="Arial" w:cs="Arial"/>
          <w:sz w:val="24"/>
          <w:szCs w:val="24"/>
        </w:rPr>
        <w:t xml:space="preserve">standing </w:t>
      </w:r>
      <w:r w:rsidR="00E33B66" w:rsidRPr="007368C9">
        <w:rPr>
          <w:rFonts w:ascii="Arial" w:hAnsi="Arial" w:cs="Arial"/>
          <w:sz w:val="24"/>
          <w:szCs w:val="24"/>
        </w:rPr>
        <w:t xml:space="preserve">live </w:t>
      </w:r>
      <w:r w:rsidR="00F0060E">
        <w:rPr>
          <w:rFonts w:ascii="Arial" w:hAnsi="Arial" w:cs="Arial"/>
          <w:sz w:val="24"/>
          <w:szCs w:val="24"/>
        </w:rPr>
        <w:t xml:space="preserve">carbon stocks </w:t>
      </w:r>
      <w:r w:rsidR="00E33B66" w:rsidRPr="007368C9">
        <w:rPr>
          <w:rFonts w:ascii="Arial" w:hAnsi="Arial" w:cs="Arial"/>
          <w:sz w:val="24"/>
          <w:szCs w:val="24"/>
        </w:rPr>
        <w:t xml:space="preserve">below </w:t>
      </w:r>
      <w:r w:rsidR="00C3040E">
        <w:rPr>
          <w:rFonts w:ascii="Arial" w:hAnsi="Arial" w:cs="Arial"/>
          <w:sz w:val="24"/>
          <w:szCs w:val="24"/>
        </w:rPr>
        <w:t>C</w:t>
      </w:r>
      <w:r>
        <w:rPr>
          <w:rFonts w:ascii="Arial" w:hAnsi="Arial" w:cs="Arial"/>
          <w:sz w:val="24"/>
          <w:szCs w:val="24"/>
        </w:rPr>
        <w:t>ommon Practice</w:t>
      </w:r>
      <w:r w:rsidR="00E33B66" w:rsidRPr="007368C9">
        <w:rPr>
          <w:rFonts w:ascii="Arial" w:hAnsi="Arial" w:cs="Arial"/>
          <w:sz w:val="24"/>
          <w:szCs w:val="24"/>
        </w:rPr>
        <w:t xml:space="preserve"> at project commencement</w:t>
      </w:r>
      <w:r w:rsidR="0017232E" w:rsidRPr="007368C9">
        <w:rPr>
          <w:rFonts w:ascii="Arial" w:hAnsi="Arial" w:cs="Arial"/>
          <w:sz w:val="24"/>
          <w:szCs w:val="24"/>
        </w:rPr>
        <w:t xml:space="preserve"> must perform an analysis of the carbon inventories that existed prior to </w:t>
      </w:r>
      <w:r w:rsidR="00467A3E" w:rsidRPr="007368C9">
        <w:rPr>
          <w:rFonts w:ascii="Arial" w:hAnsi="Arial" w:cs="Arial"/>
          <w:sz w:val="24"/>
          <w:szCs w:val="24"/>
        </w:rPr>
        <w:t xml:space="preserve">original </w:t>
      </w:r>
      <w:r w:rsidR="0017232E" w:rsidRPr="007368C9">
        <w:rPr>
          <w:rFonts w:ascii="Arial" w:hAnsi="Arial" w:cs="Arial"/>
          <w:sz w:val="24"/>
          <w:szCs w:val="24"/>
        </w:rPr>
        <w:t xml:space="preserve">project commencement.  </w:t>
      </w:r>
      <w:r w:rsidR="00E33B66" w:rsidRPr="007368C9">
        <w:rPr>
          <w:rFonts w:ascii="Arial" w:hAnsi="Arial" w:cs="Arial"/>
          <w:sz w:val="24"/>
          <w:szCs w:val="24"/>
        </w:rPr>
        <w:t xml:space="preserve">To do this, </w:t>
      </w:r>
      <w:r w:rsidR="009047BD" w:rsidRPr="007368C9">
        <w:rPr>
          <w:rFonts w:ascii="Arial" w:hAnsi="Arial" w:cs="Arial"/>
          <w:sz w:val="24"/>
          <w:szCs w:val="24"/>
        </w:rPr>
        <w:t>HSR</w:t>
      </w:r>
      <w:r w:rsidR="0017232E" w:rsidRPr="007368C9">
        <w:rPr>
          <w:rFonts w:ascii="Arial" w:hAnsi="Arial" w:cs="Arial"/>
          <w:sz w:val="24"/>
          <w:szCs w:val="24"/>
        </w:rPr>
        <w:t xml:space="preserve"> </w:t>
      </w:r>
      <w:r w:rsidR="00467A3E" w:rsidRPr="007368C9">
        <w:rPr>
          <w:rFonts w:ascii="Arial" w:hAnsi="Arial" w:cs="Arial"/>
          <w:sz w:val="24"/>
          <w:szCs w:val="24"/>
        </w:rPr>
        <w:t xml:space="preserve">must be determined </w:t>
      </w:r>
      <w:r w:rsidR="0017232E" w:rsidRPr="007368C9">
        <w:rPr>
          <w:rFonts w:ascii="Arial" w:hAnsi="Arial" w:cs="Arial"/>
          <w:sz w:val="24"/>
          <w:szCs w:val="24"/>
        </w:rPr>
        <w:t xml:space="preserve">at </w:t>
      </w:r>
      <w:r w:rsidR="00A2010E" w:rsidRPr="007368C9">
        <w:rPr>
          <w:rFonts w:ascii="Arial" w:hAnsi="Arial" w:cs="Arial"/>
          <w:sz w:val="24"/>
          <w:szCs w:val="24"/>
        </w:rPr>
        <w:t xml:space="preserve">the </w:t>
      </w:r>
      <w:r w:rsidR="0017232E" w:rsidRPr="007368C9">
        <w:rPr>
          <w:rFonts w:ascii="Arial" w:hAnsi="Arial" w:cs="Arial"/>
          <w:sz w:val="24"/>
          <w:szCs w:val="24"/>
        </w:rPr>
        <w:t>project commencement</w:t>
      </w:r>
      <w:r w:rsidR="00A2010E" w:rsidRPr="007368C9">
        <w:rPr>
          <w:rFonts w:ascii="Arial" w:hAnsi="Arial" w:cs="Arial"/>
          <w:sz w:val="24"/>
          <w:szCs w:val="24"/>
        </w:rPr>
        <w:t xml:space="preserve"> date.</w:t>
      </w:r>
      <w:r w:rsidR="0017232E" w:rsidRPr="007368C9">
        <w:rPr>
          <w:rFonts w:ascii="Arial" w:hAnsi="Arial" w:cs="Arial"/>
          <w:sz w:val="24"/>
          <w:szCs w:val="24"/>
        </w:rPr>
        <w:t xml:space="preserve"> </w:t>
      </w:r>
      <w:r w:rsidR="00C3040E">
        <w:rPr>
          <w:rFonts w:ascii="Arial" w:hAnsi="Arial" w:cs="Arial"/>
          <w:sz w:val="24"/>
          <w:szCs w:val="24"/>
        </w:rPr>
        <w:t xml:space="preserve"> </w:t>
      </w:r>
      <w:r w:rsidR="0017232E" w:rsidRPr="007368C9">
        <w:rPr>
          <w:rFonts w:ascii="Arial" w:hAnsi="Arial" w:cs="Arial"/>
          <w:sz w:val="24"/>
          <w:szCs w:val="24"/>
        </w:rPr>
        <w:t xml:space="preserve">The </w:t>
      </w:r>
      <w:r w:rsidR="00F87546" w:rsidRPr="007368C9">
        <w:rPr>
          <w:rFonts w:ascii="Arial" w:hAnsi="Arial" w:cs="Arial"/>
          <w:sz w:val="24"/>
          <w:szCs w:val="24"/>
        </w:rPr>
        <w:t xml:space="preserve">HSR </w:t>
      </w:r>
      <w:r w:rsidR="0017232E" w:rsidRPr="007368C9">
        <w:rPr>
          <w:rFonts w:ascii="Arial" w:hAnsi="Arial" w:cs="Arial"/>
          <w:sz w:val="24"/>
          <w:szCs w:val="24"/>
        </w:rPr>
        <w:t xml:space="preserve">is a criterion used in the calculation of </w:t>
      </w:r>
      <w:r w:rsidR="00467A3E" w:rsidRPr="007368C9">
        <w:rPr>
          <w:rFonts w:ascii="Arial" w:hAnsi="Arial" w:cs="Arial"/>
          <w:sz w:val="24"/>
          <w:szCs w:val="24"/>
        </w:rPr>
        <w:t>IFM</w:t>
      </w:r>
      <w:r w:rsidR="0017232E" w:rsidRPr="007368C9">
        <w:rPr>
          <w:rFonts w:ascii="Arial" w:hAnsi="Arial" w:cs="Arial"/>
          <w:sz w:val="24"/>
          <w:szCs w:val="24"/>
        </w:rPr>
        <w:t xml:space="preserve"> baselines for projects with </w:t>
      </w:r>
      <w:r w:rsidR="00467A3E" w:rsidRPr="007368C9">
        <w:rPr>
          <w:rFonts w:ascii="Arial" w:hAnsi="Arial" w:cs="Arial"/>
          <w:sz w:val="24"/>
          <w:szCs w:val="24"/>
        </w:rPr>
        <w:t>ICS below CP</w:t>
      </w:r>
      <w:r w:rsidR="00492C72" w:rsidRPr="007368C9">
        <w:rPr>
          <w:rFonts w:ascii="Arial" w:hAnsi="Arial" w:cs="Arial"/>
          <w:sz w:val="24"/>
          <w:szCs w:val="24"/>
        </w:rPr>
        <w:t>.</w:t>
      </w:r>
      <w:r w:rsidR="0017232E" w:rsidRPr="007368C9">
        <w:rPr>
          <w:rFonts w:ascii="Arial" w:hAnsi="Arial" w:cs="Arial"/>
          <w:sz w:val="24"/>
          <w:szCs w:val="24"/>
        </w:rPr>
        <w:t xml:space="preserve">  Equation 6.6 of the </w:t>
      </w:r>
      <w:r w:rsidR="00492C72" w:rsidRPr="007368C9">
        <w:rPr>
          <w:rFonts w:ascii="Arial" w:hAnsi="Arial" w:cs="Arial"/>
          <w:sz w:val="24"/>
          <w:szCs w:val="24"/>
        </w:rPr>
        <w:t>COP</w:t>
      </w:r>
      <w:r w:rsidR="0017232E" w:rsidRPr="007368C9">
        <w:rPr>
          <w:rFonts w:ascii="Arial" w:hAnsi="Arial" w:cs="Arial"/>
          <w:sz w:val="24"/>
          <w:szCs w:val="24"/>
        </w:rPr>
        <w:t xml:space="preserve"> defines the H</w:t>
      </w:r>
      <w:r w:rsidR="00F87546" w:rsidRPr="007368C9">
        <w:rPr>
          <w:rFonts w:ascii="Arial" w:hAnsi="Arial" w:cs="Arial"/>
          <w:sz w:val="24"/>
          <w:szCs w:val="24"/>
        </w:rPr>
        <w:t xml:space="preserve">SR </w:t>
      </w:r>
      <w:r w:rsidR="0017232E" w:rsidRPr="007368C9">
        <w:rPr>
          <w:rFonts w:ascii="Arial" w:hAnsi="Arial" w:cs="Arial"/>
          <w:sz w:val="24"/>
          <w:szCs w:val="24"/>
        </w:rPr>
        <w:t>as 80 percent of the highest value for aboveground standing live carbon stocks</w:t>
      </w:r>
      <w:r w:rsidR="00C548CF">
        <w:rPr>
          <w:rFonts w:ascii="Arial" w:hAnsi="Arial" w:cs="Arial"/>
          <w:sz w:val="24"/>
          <w:szCs w:val="24"/>
        </w:rPr>
        <w:t xml:space="preserve"> </w:t>
      </w:r>
      <w:r w:rsidR="00C548CF" w:rsidRPr="007368C9">
        <w:rPr>
          <w:rFonts w:ascii="Arial" w:hAnsi="Arial" w:cs="Arial"/>
          <w:sz w:val="24"/>
          <w:szCs w:val="24"/>
        </w:rPr>
        <w:t xml:space="preserve">(AGSLCS) </w:t>
      </w:r>
      <w:r w:rsidR="0017232E" w:rsidRPr="007368C9">
        <w:rPr>
          <w:rFonts w:ascii="Arial" w:hAnsi="Arial" w:cs="Arial"/>
          <w:sz w:val="24"/>
          <w:szCs w:val="24"/>
        </w:rPr>
        <w:t>per acre within the Project Area during the preceding 10-year period (</w:t>
      </w:r>
      <w:r w:rsidR="0060671F" w:rsidRPr="007368C9">
        <w:rPr>
          <w:rFonts w:ascii="Arial" w:hAnsi="Arial" w:cs="Arial"/>
          <w:sz w:val="24"/>
          <w:szCs w:val="24"/>
        </w:rPr>
        <w:t xml:space="preserve">Figure </w:t>
      </w:r>
      <w:r w:rsidR="00197CC6" w:rsidRPr="007368C9">
        <w:rPr>
          <w:rFonts w:ascii="Arial" w:hAnsi="Arial" w:cs="Arial"/>
          <w:sz w:val="24"/>
          <w:szCs w:val="24"/>
        </w:rPr>
        <w:t>1</w:t>
      </w:r>
      <w:r w:rsidR="0017232E" w:rsidRPr="007368C9">
        <w:rPr>
          <w:rFonts w:ascii="Arial" w:hAnsi="Arial" w:cs="Arial"/>
          <w:sz w:val="24"/>
          <w:szCs w:val="24"/>
        </w:rPr>
        <w:t xml:space="preserve">).  To determine the </w:t>
      </w:r>
      <w:r w:rsidR="00F87546" w:rsidRPr="007368C9">
        <w:rPr>
          <w:rFonts w:ascii="Arial" w:hAnsi="Arial" w:cs="Arial"/>
          <w:sz w:val="24"/>
          <w:szCs w:val="24"/>
        </w:rPr>
        <w:t>HSR</w:t>
      </w:r>
      <w:r w:rsidR="0017232E" w:rsidRPr="007368C9">
        <w:rPr>
          <w:rFonts w:ascii="Arial" w:hAnsi="Arial" w:cs="Arial"/>
          <w:sz w:val="24"/>
          <w:szCs w:val="24"/>
        </w:rPr>
        <w:t xml:space="preserve">, the </w:t>
      </w:r>
      <w:r w:rsidR="00C3040E">
        <w:rPr>
          <w:rFonts w:ascii="Arial" w:hAnsi="Arial" w:cs="Arial"/>
          <w:sz w:val="24"/>
          <w:szCs w:val="24"/>
        </w:rPr>
        <w:t>OPO</w:t>
      </w:r>
      <w:r w:rsidR="001B03AF" w:rsidRPr="007368C9">
        <w:rPr>
          <w:rFonts w:ascii="Arial" w:hAnsi="Arial" w:cs="Arial"/>
          <w:sz w:val="24"/>
          <w:szCs w:val="24"/>
        </w:rPr>
        <w:t xml:space="preserve"> </w:t>
      </w:r>
      <w:r w:rsidR="0017232E" w:rsidRPr="007368C9">
        <w:rPr>
          <w:rFonts w:ascii="Arial" w:hAnsi="Arial" w:cs="Arial"/>
          <w:sz w:val="24"/>
          <w:szCs w:val="24"/>
        </w:rPr>
        <w:t xml:space="preserve">or Authorized Project Designee </w:t>
      </w:r>
      <w:r w:rsidR="001B03AF" w:rsidRPr="007368C9">
        <w:rPr>
          <w:rFonts w:ascii="Arial" w:hAnsi="Arial" w:cs="Arial"/>
          <w:sz w:val="24"/>
          <w:szCs w:val="24"/>
        </w:rPr>
        <w:t xml:space="preserve">(APD) </w:t>
      </w:r>
      <w:r w:rsidR="0017232E" w:rsidRPr="007368C9">
        <w:rPr>
          <w:rFonts w:ascii="Arial" w:hAnsi="Arial" w:cs="Arial"/>
          <w:sz w:val="24"/>
          <w:szCs w:val="24"/>
        </w:rPr>
        <w:t xml:space="preserve">must document changes in the Project Area’s </w:t>
      </w:r>
      <w:r w:rsidR="00C3040E">
        <w:rPr>
          <w:rFonts w:ascii="Arial" w:hAnsi="Arial" w:cs="Arial"/>
          <w:sz w:val="24"/>
          <w:szCs w:val="24"/>
        </w:rPr>
        <w:t>AGSLCS</w:t>
      </w:r>
      <w:r w:rsidR="0017232E" w:rsidRPr="007368C9">
        <w:rPr>
          <w:rFonts w:ascii="Arial" w:hAnsi="Arial" w:cs="Arial"/>
          <w:sz w:val="24"/>
          <w:szCs w:val="24"/>
        </w:rPr>
        <w:t xml:space="preserve"> over the preceding 10 years prior to project commencement</w:t>
      </w:r>
      <w:r w:rsidR="002030ED" w:rsidRPr="007368C9">
        <w:rPr>
          <w:rFonts w:ascii="Arial" w:hAnsi="Arial" w:cs="Arial"/>
          <w:sz w:val="24"/>
          <w:szCs w:val="24"/>
        </w:rPr>
        <w:t>, regardless of who owned the carbon stocks within the Project Area</w:t>
      </w:r>
      <w:r w:rsidR="00D05BE5">
        <w:rPr>
          <w:rFonts w:ascii="Arial" w:hAnsi="Arial" w:cs="Arial"/>
          <w:sz w:val="24"/>
          <w:szCs w:val="24"/>
        </w:rPr>
        <w:t xml:space="preserve"> during that period</w:t>
      </w:r>
      <w:r w:rsidR="0017232E" w:rsidRPr="007368C9">
        <w:rPr>
          <w:rFonts w:ascii="Arial" w:hAnsi="Arial" w:cs="Arial"/>
          <w:sz w:val="24"/>
          <w:szCs w:val="24"/>
        </w:rPr>
        <w:t xml:space="preserve">.  The </w:t>
      </w:r>
      <w:r w:rsidR="00F87546" w:rsidRPr="007368C9">
        <w:rPr>
          <w:rFonts w:ascii="Arial" w:hAnsi="Arial" w:cs="Arial"/>
          <w:sz w:val="24"/>
          <w:szCs w:val="24"/>
        </w:rPr>
        <w:t>HSR</w:t>
      </w:r>
      <w:r w:rsidR="0017232E" w:rsidRPr="007368C9">
        <w:rPr>
          <w:rFonts w:ascii="Arial" w:hAnsi="Arial" w:cs="Arial"/>
          <w:sz w:val="24"/>
          <w:szCs w:val="24"/>
        </w:rPr>
        <w:t xml:space="preserve"> </w:t>
      </w:r>
      <w:r w:rsidR="00C3040E">
        <w:rPr>
          <w:rFonts w:ascii="Arial" w:hAnsi="Arial" w:cs="Arial"/>
          <w:sz w:val="24"/>
          <w:szCs w:val="24"/>
        </w:rPr>
        <w:t>will only a</w:t>
      </w:r>
      <w:r w:rsidR="00F87546" w:rsidRPr="007368C9">
        <w:rPr>
          <w:rFonts w:ascii="Arial" w:hAnsi="Arial" w:cs="Arial"/>
          <w:sz w:val="24"/>
          <w:szCs w:val="24"/>
        </w:rPr>
        <w:t>ffect the project’s baseline</w:t>
      </w:r>
      <w:r w:rsidR="00FC3072" w:rsidRPr="007368C9">
        <w:rPr>
          <w:rFonts w:ascii="Arial" w:hAnsi="Arial" w:cs="Arial"/>
          <w:sz w:val="24"/>
          <w:szCs w:val="24"/>
        </w:rPr>
        <w:t xml:space="preserve"> if</w:t>
      </w:r>
      <w:r w:rsidR="0017232E" w:rsidRPr="007368C9">
        <w:rPr>
          <w:rFonts w:ascii="Arial" w:hAnsi="Arial" w:cs="Arial"/>
          <w:sz w:val="24"/>
          <w:szCs w:val="24"/>
        </w:rPr>
        <w:t xml:space="preserve"> it exceeds the project’s </w:t>
      </w:r>
      <w:r w:rsidR="001B03AF" w:rsidRPr="007368C9">
        <w:rPr>
          <w:rFonts w:ascii="Arial" w:hAnsi="Arial" w:cs="Arial"/>
          <w:sz w:val="24"/>
          <w:szCs w:val="24"/>
        </w:rPr>
        <w:t>ICS</w:t>
      </w:r>
      <w:r w:rsidR="0017232E" w:rsidRPr="007368C9">
        <w:rPr>
          <w:rFonts w:ascii="Arial" w:hAnsi="Arial" w:cs="Arial"/>
          <w:sz w:val="24"/>
          <w:szCs w:val="24"/>
        </w:rPr>
        <w:t xml:space="preserve"> at </w:t>
      </w:r>
      <w:r w:rsidR="00F87546" w:rsidRPr="007368C9">
        <w:rPr>
          <w:rFonts w:ascii="Arial" w:hAnsi="Arial" w:cs="Arial"/>
          <w:sz w:val="24"/>
          <w:szCs w:val="24"/>
        </w:rPr>
        <w:t>the project’s commencement date.</w:t>
      </w:r>
    </w:p>
    <w:p w:rsidR="008E5E99" w:rsidRPr="007368C9" w:rsidRDefault="00B90A85" w:rsidP="0060671F">
      <w:pPr>
        <w:jc w:val="center"/>
        <w:rPr>
          <w:rFonts w:ascii="Arial" w:hAnsi="Arial" w:cs="Arial"/>
          <w:sz w:val="24"/>
          <w:szCs w:val="24"/>
        </w:rPr>
      </w:pPr>
      <w:bookmarkStart w:id="13" w:name="_Ref404272163"/>
      <w:bookmarkStart w:id="14" w:name="_Toc404274031"/>
      <w:bookmarkEnd w:id="13"/>
      <w:bookmarkEnd w:id="14"/>
      <w:r>
        <w:rPr>
          <w:rFonts w:ascii="Arial" w:hAnsi="Arial" w:cs="Arial"/>
          <w:noProof/>
          <w:sz w:val="24"/>
          <w:szCs w:val="24"/>
        </w:rPr>
        <w:lastRenderedPageBreak/>
        <w:drawing>
          <wp:inline distT="0" distB="0" distL="0" distR="0" wp14:anchorId="2A57315F" wp14:editId="6E0DE479">
            <wp:extent cx="4867275" cy="2265895"/>
            <wp:effectExtent l="19050" t="19050" r="9525"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3855" cy="2268958"/>
                    </a:xfrm>
                    <a:prstGeom prst="rect">
                      <a:avLst/>
                    </a:prstGeom>
                    <a:noFill/>
                    <a:ln>
                      <a:solidFill>
                        <a:schemeClr val="accent1"/>
                      </a:solidFill>
                    </a:ln>
                  </pic:spPr>
                </pic:pic>
              </a:graphicData>
            </a:graphic>
          </wp:inline>
        </w:drawing>
      </w:r>
    </w:p>
    <w:p w:rsidR="00F83703" w:rsidRPr="007368C9" w:rsidRDefault="008E5E99" w:rsidP="00111021">
      <w:pPr>
        <w:ind w:left="720"/>
        <w:rPr>
          <w:rFonts w:ascii="Arial" w:hAnsi="Arial" w:cs="Arial"/>
          <w:sz w:val="24"/>
          <w:szCs w:val="24"/>
        </w:rPr>
      </w:pPr>
      <w:r w:rsidRPr="007368C9">
        <w:rPr>
          <w:rFonts w:ascii="Arial" w:hAnsi="Arial" w:cs="Arial"/>
          <w:b/>
          <w:sz w:val="24"/>
          <w:szCs w:val="24"/>
        </w:rPr>
        <w:t>Figure 1</w:t>
      </w:r>
      <w:r w:rsidR="0023521D">
        <w:rPr>
          <w:rFonts w:ascii="Arial" w:hAnsi="Arial" w:cs="Arial"/>
          <w:sz w:val="24"/>
          <w:szCs w:val="24"/>
        </w:rPr>
        <w:t xml:space="preserve">: HSR is applicable </w:t>
      </w:r>
      <w:r w:rsidR="002A715E">
        <w:rPr>
          <w:rFonts w:ascii="Arial" w:hAnsi="Arial" w:cs="Arial"/>
          <w:sz w:val="24"/>
          <w:szCs w:val="24"/>
        </w:rPr>
        <w:t xml:space="preserve">to the minimum baseline level (MBL) </w:t>
      </w:r>
      <w:r w:rsidR="0023521D">
        <w:rPr>
          <w:rFonts w:ascii="Arial" w:hAnsi="Arial" w:cs="Arial"/>
          <w:sz w:val="24"/>
          <w:szCs w:val="24"/>
        </w:rPr>
        <w:t>because</w:t>
      </w:r>
      <w:r w:rsidR="003A3137">
        <w:rPr>
          <w:rFonts w:ascii="Arial" w:hAnsi="Arial" w:cs="Arial"/>
          <w:sz w:val="24"/>
          <w:szCs w:val="24"/>
        </w:rPr>
        <w:t xml:space="preserve"> the </w:t>
      </w:r>
      <w:r w:rsidR="00111021">
        <w:rPr>
          <w:rFonts w:ascii="Arial" w:hAnsi="Arial" w:cs="Arial"/>
          <w:sz w:val="24"/>
          <w:szCs w:val="24"/>
        </w:rPr>
        <w:t>f</w:t>
      </w:r>
      <w:r w:rsidR="003A3137">
        <w:rPr>
          <w:rFonts w:ascii="Arial" w:hAnsi="Arial" w:cs="Arial"/>
          <w:sz w:val="24"/>
          <w:szCs w:val="24"/>
        </w:rPr>
        <w:t>ollowing two conditions</w:t>
      </w:r>
      <w:r w:rsidR="00D05BE5">
        <w:rPr>
          <w:rFonts w:ascii="Arial" w:hAnsi="Arial" w:cs="Arial"/>
          <w:sz w:val="24"/>
          <w:szCs w:val="24"/>
        </w:rPr>
        <w:t xml:space="preserve"> are met</w:t>
      </w:r>
      <w:r w:rsidR="003A3137">
        <w:rPr>
          <w:rFonts w:ascii="Arial" w:hAnsi="Arial" w:cs="Arial"/>
          <w:sz w:val="24"/>
          <w:szCs w:val="24"/>
        </w:rPr>
        <w:t xml:space="preserve">: </w:t>
      </w:r>
      <w:r w:rsidR="0023521D">
        <w:rPr>
          <w:rFonts w:ascii="Arial" w:hAnsi="Arial" w:cs="Arial"/>
          <w:sz w:val="24"/>
          <w:szCs w:val="24"/>
        </w:rPr>
        <w:t xml:space="preserve"> </w:t>
      </w:r>
      <w:r w:rsidR="009A1B68">
        <w:rPr>
          <w:rFonts w:ascii="Arial" w:hAnsi="Arial" w:cs="Arial"/>
          <w:sz w:val="24"/>
          <w:szCs w:val="24"/>
        </w:rPr>
        <w:t xml:space="preserve">(1) </w:t>
      </w:r>
      <w:r w:rsidR="003A3137">
        <w:rPr>
          <w:rFonts w:ascii="Arial" w:hAnsi="Arial" w:cs="Arial"/>
          <w:sz w:val="24"/>
          <w:szCs w:val="24"/>
        </w:rPr>
        <w:t xml:space="preserve">the project’s </w:t>
      </w:r>
      <w:r w:rsidR="009A1B68">
        <w:rPr>
          <w:rFonts w:ascii="Arial" w:hAnsi="Arial" w:cs="Arial"/>
          <w:sz w:val="24"/>
          <w:szCs w:val="24"/>
        </w:rPr>
        <w:t>ICS</w:t>
      </w:r>
      <w:r w:rsidR="001C4D40">
        <w:rPr>
          <w:rFonts w:ascii="Arial" w:hAnsi="Arial" w:cs="Arial"/>
          <w:sz w:val="24"/>
          <w:szCs w:val="24"/>
        </w:rPr>
        <w:t>s</w:t>
      </w:r>
      <w:r w:rsidR="00111021">
        <w:rPr>
          <w:rFonts w:ascii="Arial" w:hAnsi="Arial" w:cs="Arial"/>
          <w:sz w:val="24"/>
          <w:szCs w:val="24"/>
        </w:rPr>
        <w:t xml:space="preserve"> are </w:t>
      </w:r>
      <w:r w:rsidR="003A3137">
        <w:rPr>
          <w:rFonts w:ascii="Arial" w:hAnsi="Arial" w:cs="Arial"/>
          <w:sz w:val="24"/>
          <w:szCs w:val="24"/>
        </w:rPr>
        <w:t>below common</w:t>
      </w:r>
      <w:r w:rsidR="00111021">
        <w:rPr>
          <w:rFonts w:ascii="Arial" w:hAnsi="Arial" w:cs="Arial"/>
          <w:sz w:val="24"/>
          <w:szCs w:val="24"/>
        </w:rPr>
        <w:t xml:space="preserve"> </w:t>
      </w:r>
      <w:r w:rsidR="003A3137">
        <w:rPr>
          <w:rFonts w:ascii="Arial" w:hAnsi="Arial" w:cs="Arial"/>
          <w:sz w:val="24"/>
          <w:szCs w:val="24"/>
        </w:rPr>
        <w:t xml:space="preserve">practice </w:t>
      </w:r>
      <w:r w:rsidR="009A1B68">
        <w:rPr>
          <w:rFonts w:ascii="Arial" w:hAnsi="Arial" w:cs="Arial"/>
          <w:sz w:val="24"/>
          <w:szCs w:val="24"/>
        </w:rPr>
        <w:t xml:space="preserve">at </w:t>
      </w:r>
      <w:r w:rsidR="002A715E">
        <w:rPr>
          <w:rFonts w:ascii="Arial" w:hAnsi="Arial" w:cs="Arial"/>
          <w:sz w:val="24"/>
          <w:szCs w:val="24"/>
        </w:rPr>
        <w:t>project</w:t>
      </w:r>
      <w:r w:rsidR="00111021">
        <w:rPr>
          <w:rFonts w:ascii="Arial" w:hAnsi="Arial" w:cs="Arial"/>
          <w:sz w:val="24"/>
          <w:szCs w:val="24"/>
        </w:rPr>
        <w:t xml:space="preserve"> </w:t>
      </w:r>
      <w:r w:rsidR="00D05BE5">
        <w:rPr>
          <w:rFonts w:ascii="Arial" w:hAnsi="Arial" w:cs="Arial"/>
          <w:sz w:val="24"/>
          <w:szCs w:val="24"/>
        </w:rPr>
        <w:t>c</w:t>
      </w:r>
      <w:r w:rsidR="009A1B68">
        <w:rPr>
          <w:rFonts w:ascii="Arial" w:hAnsi="Arial" w:cs="Arial"/>
          <w:sz w:val="24"/>
          <w:szCs w:val="24"/>
        </w:rPr>
        <w:t xml:space="preserve">ommencement, </w:t>
      </w:r>
      <w:r w:rsidR="003A3137">
        <w:rPr>
          <w:rFonts w:ascii="Arial" w:hAnsi="Arial" w:cs="Arial"/>
          <w:sz w:val="24"/>
          <w:szCs w:val="24"/>
        </w:rPr>
        <w:t xml:space="preserve">and </w:t>
      </w:r>
      <w:r w:rsidR="009A1B68">
        <w:rPr>
          <w:rFonts w:ascii="Arial" w:hAnsi="Arial" w:cs="Arial"/>
          <w:sz w:val="24"/>
          <w:szCs w:val="24"/>
        </w:rPr>
        <w:t xml:space="preserve">(2) </w:t>
      </w:r>
      <w:r w:rsidR="003A3137">
        <w:rPr>
          <w:rFonts w:ascii="Arial" w:hAnsi="Arial" w:cs="Arial"/>
          <w:sz w:val="24"/>
          <w:szCs w:val="24"/>
        </w:rPr>
        <w:t>the High Stocking Reference is</w:t>
      </w:r>
      <w:r w:rsidR="005129AE">
        <w:rPr>
          <w:rFonts w:ascii="Arial" w:hAnsi="Arial" w:cs="Arial"/>
          <w:sz w:val="24"/>
          <w:szCs w:val="24"/>
        </w:rPr>
        <w:t xml:space="preserve"> </w:t>
      </w:r>
      <w:r w:rsidR="003A3137">
        <w:rPr>
          <w:rFonts w:ascii="Arial" w:hAnsi="Arial" w:cs="Arial"/>
          <w:sz w:val="24"/>
          <w:szCs w:val="24"/>
        </w:rPr>
        <w:t xml:space="preserve">above the project’s </w:t>
      </w:r>
      <w:r w:rsidR="009A1B68">
        <w:rPr>
          <w:rFonts w:ascii="Arial" w:hAnsi="Arial" w:cs="Arial"/>
          <w:sz w:val="24"/>
          <w:szCs w:val="24"/>
        </w:rPr>
        <w:t xml:space="preserve">ICS </w:t>
      </w:r>
      <w:r w:rsidR="003A3137">
        <w:rPr>
          <w:rFonts w:ascii="Arial" w:hAnsi="Arial" w:cs="Arial"/>
          <w:sz w:val="24"/>
          <w:szCs w:val="24"/>
        </w:rPr>
        <w:t>at project commencement</w:t>
      </w:r>
      <w:r w:rsidR="00111021">
        <w:rPr>
          <w:rFonts w:ascii="Arial" w:hAnsi="Arial" w:cs="Arial"/>
          <w:sz w:val="24"/>
          <w:szCs w:val="24"/>
        </w:rPr>
        <w:t>.</w:t>
      </w:r>
    </w:p>
    <w:p w:rsidR="0017232E" w:rsidRPr="007368C9" w:rsidRDefault="00FC3072" w:rsidP="000F2EF3">
      <w:pPr>
        <w:ind w:left="360"/>
        <w:rPr>
          <w:rFonts w:ascii="Arial" w:hAnsi="Arial" w:cs="Arial"/>
          <w:sz w:val="24"/>
          <w:szCs w:val="24"/>
        </w:rPr>
      </w:pPr>
      <w:r w:rsidRPr="007368C9">
        <w:rPr>
          <w:rFonts w:ascii="Arial" w:hAnsi="Arial" w:cs="Arial"/>
          <w:sz w:val="24"/>
          <w:szCs w:val="24"/>
        </w:rPr>
        <w:t xml:space="preserve">If it is determined the HSR </w:t>
      </w:r>
      <w:r w:rsidR="005129AE">
        <w:rPr>
          <w:rFonts w:ascii="Arial" w:hAnsi="Arial" w:cs="Arial"/>
          <w:sz w:val="24"/>
          <w:szCs w:val="24"/>
        </w:rPr>
        <w:t>would have affected the baseline determination as of the commencement date</w:t>
      </w:r>
      <w:r w:rsidRPr="007368C9">
        <w:rPr>
          <w:rFonts w:ascii="Arial" w:hAnsi="Arial" w:cs="Arial"/>
          <w:sz w:val="24"/>
          <w:szCs w:val="24"/>
        </w:rPr>
        <w:t xml:space="preserve">, </w:t>
      </w:r>
      <w:r w:rsidR="001B03AF" w:rsidRPr="007368C9">
        <w:rPr>
          <w:rFonts w:ascii="Arial" w:hAnsi="Arial" w:cs="Arial"/>
          <w:sz w:val="24"/>
          <w:szCs w:val="24"/>
        </w:rPr>
        <w:t xml:space="preserve">a </w:t>
      </w:r>
      <w:r w:rsidRPr="007368C9">
        <w:rPr>
          <w:rFonts w:ascii="Arial" w:hAnsi="Arial" w:cs="Arial"/>
          <w:sz w:val="24"/>
          <w:szCs w:val="24"/>
        </w:rPr>
        <w:t xml:space="preserve">second test </w:t>
      </w:r>
      <w:r w:rsidR="0023521D">
        <w:rPr>
          <w:rFonts w:ascii="Arial" w:hAnsi="Arial" w:cs="Arial"/>
          <w:sz w:val="24"/>
          <w:szCs w:val="24"/>
        </w:rPr>
        <w:t>must</w:t>
      </w:r>
      <w:r w:rsidR="002030ED" w:rsidRPr="007368C9">
        <w:rPr>
          <w:rFonts w:ascii="Arial" w:hAnsi="Arial" w:cs="Arial"/>
          <w:sz w:val="24"/>
          <w:szCs w:val="24"/>
        </w:rPr>
        <w:t xml:space="preserve"> </w:t>
      </w:r>
      <w:r w:rsidR="001B03AF" w:rsidRPr="007368C9">
        <w:rPr>
          <w:rFonts w:ascii="Arial" w:hAnsi="Arial" w:cs="Arial"/>
          <w:sz w:val="24"/>
          <w:szCs w:val="24"/>
        </w:rPr>
        <w:t>be</w:t>
      </w:r>
      <w:r w:rsidRPr="007368C9">
        <w:rPr>
          <w:rFonts w:ascii="Arial" w:hAnsi="Arial" w:cs="Arial"/>
          <w:sz w:val="24"/>
          <w:szCs w:val="24"/>
        </w:rPr>
        <w:t xml:space="preserve"> applied to determine if the HSR will have an effect on the project’s baseline</w:t>
      </w:r>
      <w:r w:rsidR="005129AE">
        <w:rPr>
          <w:rFonts w:ascii="Arial" w:hAnsi="Arial" w:cs="Arial"/>
          <w:sz w:val="24"/>
          <w:szCs w:val="24"/>
        </w:rPr>
        <w:t xml:space="preserve"> as of the project’s transition date. </w:t>
      </w:r>
      <w:r w:rsidR="0017232E" w:rsidRPr="007368C9">
        <w:rPr>
          <w:rFonts w:ascii="Arial" w:hAnsi="Arial" w:cs="Arial"/>
          <w:sz w:val="24"/>
          <w:szCs w:val="24"/>
        </w:rPr>
        <w:t xml:space="preserve">If the early action project’s </w:t>
      </w:r>
      <w:r w:rsidR="001B03AF" w:rsidRPr="007368C9">
        <w:rPr>
          <w:rFonts w:ascii="Arial" w:hAnsi="Arial" w:cs="Arial"/>
          <w:sz w:val="24"/>
          <w:szCs w:val="24"/>
        </w:rPr>
        <w:t xml:space="preserve">ICS </w:t>
      </w:r>
      <w:r w:rsidR="0017232E" w:rsidRPr="007368C9">
        <w:rPr>
          <w:rFonts w:ascii="Arial" w:hAnsi="Arial" w:cs="Arial"/>
          <w:sz w:val="24"/>
          <w:szCs w:val="24"/>
        </w:rPr>
        <w:t xml:space="preserve">are below </w:t>
      </w:r>
      <w:r w:rsidR="001B03AF" w:rsidRPr="007368C9">
        <w:rPr>
          <w:rFonts w:ascii="Arial" w:hAnsi="Arial" w:cs="Arial"/>
          <w:sz w:val="24"/>
          <w:szCs w:val="24"/>
        </w:rPr>
        <w:t>CP</w:t>
      </w:r>
      <w:r w:rsidR="0017232E" w:rsidRPr="007368C9">
        <w:rPr>
          <w:rFonts w:ascii="Arial" w:hAnsi="Arial" w:cs="Arial"/>
          <w:sz w:val="24"/>
          <w:szCs w:val="24"/>
        </w:rPr>
        <w:t xml:space="preserve"> at project commencement, those projects must apply the </w:t>
      </w:r>
      <w:r w:rsidR="00492C72" w:rsidRPr="007368C9">
        <w:rPr>
          <w:rFonts w:ascii="Arial" w:hAnsi="Arial" w:cs="Arial"/>
          <w:sz w:val="24"/>
          <w:szCs w:val="24"/>
        </w:rPr>
        <w:t>COP</w:t>
      </w:r>
      <w:r w:rsidR="0017232E" w:rsidRPr="007368C9">
        <w:rPr>
          <w:rFonts w:ascii="Arial" w:hAnsi="Arial" w:cs="Arial"/>
          <w:sz w:val="24"/>
          <w:szCs w:val="24"/>
        </w:rPr>
        <w:t xml:space="preserve"> </w:t>
      </w:r>
      <w:r w:rsidRPr="007368C9">
        <w:rPr>
          <w:rFonts w:ascii="Arial" w:hAnsi="Arial" w:cs="Arial"/>
          <w:sz w:val="24"/>
          <w:szCs w:val="24"/>
        </w:rPr>
        <w:t>HSR</w:t>
      </w:r>
      <w:r w:rsidR="0017232E" w:rsidRPr="007368C9">
        <w:rPr>
          <w:rFonts w:ascii="Arial" w:hAnsi="Arial" w:cs="Arial"/>
          <w:sz w:val="24"/>
          <w:szCs w:val="24"/>
        </w:rPr>
        <w:t xml:space="preserve"> requirements. </w:t>
      </w:r>
      <w:r w:rsidR="00492C72" w:rsidRPr="007368C9">
        <w:rPr>
          <w:rFonts w:ascii="Arial" w:hAnsi="Arial" w:cs="Arial"/>
          <w:sz w:val="24"/>
          <w:szCs w:val="24"/>
        </w:rPr>
        <w:t xml:space="preserve"> </w:t>
      </w:r>
      <w:r w:rsidR="00C80342" w:rsidRPr="007368C9">
        <w:rPr>
          <w:rFonts w:ascii="Arial" w:hAnsi="Arial" w:cs="Arial"/>
          <w:sz w:val="24"/>
          <w:szCs w:val="24"/>
        </w:rPr>
        <w:t>Provided below are t</w:t>
      </w:r>
      <w:r w:rsidR="009A72A6" w:rsidRPr="007368C9">
        <w:rPr>
          <w:rFonts w:ascii="Arial" w:hAnsi="Arial" w:cs="Arial"/>
          <w:sz w:val="24"/>
          <w:szCs w:val="24"/>
        </w:rPr>
        <w:t xml:space="preserve">wo </w:t>
      </w:r>
      <w:r w:rsidR="00451798">
        <w:rPr>
          <w:rFonts w:ascii="Arial" w:hAnsi="Arial" w:cs="Arial"/>
          <w:sz w:val="24"/>
          <w:szCs w:val="24"/>
        </w:rPr>
        <w:t xml:space="preserve">recommended </w:t>
      </w:r>
      <w:r w:rsidR="009A72A6" w:rsidRPr="007368C9">
        <w:rPr>
          <w:rFonts w:ascii="Arial" w:hAnsi="Arial" w:cs="Arial"/>
          <w:sz w:val="24"/>
          <w:szCs w:val="24"/>
        </w:rPr>
        <w:t xml:space="preserve">methods for </w:t>
      </w:r>
      <w:r w:rsidR="00C80342" w:rsidRPr="007368C9">
        <w:rPr>
          <w:rFonts w:ascii="Arial" w:hAnsi="Arial" w:cs="Arial"/>
          <w:sz w:val="24"/>
          <w:szCs w:val="24"/>
        </w:rPr>
        <w:t>determining HSR</w:t>
      </w:r>
      <w:r w:rsidR="00111021">
        <w:rPr>
          <w:rFonts w:ascii="Arial" w:hAnsi="Arial" w:cs="Arial"/>
          <w:sz w:val="24"/>
          <w:szCs w:val="24"/>
        </w:rPr>
        <w:t>:</w:t>
      </w:r>
      <w:r w:rsidR="00C80342" w:rsidRPr="007368C9">
        <w:rPr>
          <w:rFonts w:ascii="Arial" w:hAnsi="Arial" w:cs="Arial"/>
          <w:sz w:val="24"/>
          <w:szCs w:val="24"/>
        </w:rPr>
        <w:t xml:space="preserve"> </w:t>
      </w:r>
      <w:r w:rsidR="0023521D">
        <w:rPr>
          <w:rFonts w:ascii="Arial" w:hAnsi="Arial" w:cs="Arial"/>
          <w:sz w:val="24"/>
          <w:szCs w:val="24"/>
        </w:rPr>
        <w:t xml:space="preserve"> </w:t>
      </w:r>
    </w:p>
    <w:p w:rsidR="0017232E" w:rsidRPr="007368C9" w:rsidRDefault="0017232E" w:rsidP="000F2EF3">
      <w:pPr>
        <w:pStyle w:val="ListParagraph"/>
        <w:numPr>
          <w:ilvl w:val="3"/>
          <w:numId w:val="1"/>
        </w:numPr>
        <w:ind w:left="720" w:hanging="360"/>
        <w:rPr>
          <w:rFonts w:ascii="Arial" w:hAnsi="Arial" w:cs="Arial"/>
          <w:sz w:val="24"/>
          <w:szCs w:val="24"/>
        </w:rPr>
      </w:pPr>
      <w:r w:rsidRPr="007368C9">
        <w:rPr>
          <w:rFonts w:ascii="Arial" w:hAnsi="Arial" w:cs="Arial"/>
          <w:sz w:val="24"/>
          <w:szCs w:val="24"/>
        </w:rPr>
        <w:t xml:space="preserve">Recalculate the baseline following the </w:t>
      </w:r>
      <w:r w:rsidR="00492C72" w:rsidRPr="007368C9">
        <w:rPr>
          <w:rFonts w:ascii="Arial" w:hAnsi="Arial" w:cs="Arial"/>
          <w:sz w:val="24"/>
          <w:szCs w:val="24"/>
        </w:rPr>
        <w:t>HSR</w:t>
      </w:r>
      <w:r w:rsidRPr="007368C9">
        <w:rPr>
          <w:rFonts w:ascii="Arial" w:hAnsi="Arial" w:cs="Arial"/>
          <w:sz w:val="24"/>
          <w:szCs w:val="24"/>
        </w:rPr>
        <w:t xml:space="preserve"> requirements, or </w:t>
      </w:r>
    </w:p>
    <w:p w:rsidR="0060671F" w:rsidRPr="007368C9" w:rsidRDefault="0017232E" w:rsidP="000F2EF3">
      <w:pPr>
        <w:pStyle w:val="ListParagraph"/>
        <w:numPr>
          <w:ilvl w:val="3"/>
          <w:numId w:val="1"/>
        </w:numPr>
        <w:ind w:left="720" w:hanging="360"/>
        <w:rPr>
          <w:rFonts w:ascii="Arial" w:hAnsi="Arial" w:cs="Arial"/>
          <w:sz w:val="24"/>
          <w:szCs w:val="24"/>
        </w:rPr>
      </w:pPr>
      <w:r w:rsidRPr="007368C9">
        <w:rPr>
          <w:rFonts w:ascii="Arial" w:hAnsi="Arial" w:cs="Arial"/>
          <w:sz w:val="24"/>
          <w:szCs w:val="24"/>
        </w:rPr>
        <w:t xml:space="preserve">Demonstrate that the </w:t>
      </w:r>
      <w:r w:rsidR="00492C72" w:rsidRPr="007368C9">
        <w:rPr>
          <w:rFonts w:ascii="Arial" w:hAnsi="Arial" w:cs="Arial"/>
          <w:sz w:val="24"/>
          <w:szCs w:val="24"/>
        </w:rPr>
        <w:t>HSR</w:t>
      </w:r>
      <w:r w:rsidRPr="007368C9">
        <w:rPr>
          <w:rFonts w:ascii="Arial" w:hAnsi="Arial" w:cs="Arial"/>
          <w:sz w:val="24"/>
          <w:szCs w:val="24"/>
        </w:rPr>
        <w:t xml:space="preserve"> has no effect on project crediting as of the transition date</w:t>
      </w:r>
      <w:r w:rsidR="00C80342" w:rsidRPr="007368C9">
        <w:rPr>
          <w:rFonts w:ascii="Arial" w:hAnsi="Arial" w:cs="Arial"/>
          <w:sz w:val="24"/>
          <w:szCs w:val="24"/>
        </w:rPr>
        <w:t xml:space="preserve"> by </w:t>
      </w:r>
      <w:r w:rsidR="00071FBE" w:rsidRPr="007368C9">
        <w:rPr>
          <w:rFonts w:ascii="Arial" w:hAnsi="Arial" w:cs="Arial"/>
          <w:sz w:val="24"/>
          <w:szCs w:val="24"/>
        </w:rPr>
        <w:t xml:space="preserve">calculating the project’s </w:t>
      </w:r>
      <w:r w:rsidR="00DF0AA0" w:rsidRPr="007368C9">
        <w:rPr>
          <w:rFonts w:ascii="Arial" w:hAnsi="Arial" w:cs="Arial"/>
          <w:sz w:val="24"/>
          <w:szCs w:val="24"/>
        </w:rPr>
        <w:t xml:space="preserve">HSR </w:t>
      </w:r>
      <w:r w:rsidR="00E10469" w:rsidRPr="007368C9">
        <w:rPr>
          <w:rFonts w:ascii="Arial" w:hAnsi="Arial" w:cs="Arial"/>
          <w:sz w:val="24"/>
          <w:szCs w:val="24"/>
        </w:rPr>
        <w:t xml:space="preserve">(see Option 1 and 2 below) </w:t>
      </w:r>
      <w:r w:rsidR="00DF0AA0" w:rsidRPr="007368C9">
        <w:rPr>
          <w:rFonts w:ascii="Arial" w:hAnsi="Arial" w:cs="Arial"/>
          <w:sz w:val="24"/>
          <w:szCs w:val="24"/>
        </w:rPr>
        <w:t>and then performing a</w:t>
      </w:r>
      <w:r w:rsidR="004E452D" w:rsidRPr="007368C9">
        <w:rPr>
          <w:rFonts w:ascii="Arial" w:hAnsi="Arial" w:cs="Arial"/>
          <w:sz w:val="24"/>
          <w:szCs w:val="24"/>
        </w:rPr>
        <w:t xml:space="preserve"> comparison</w:t>
      </w:r>
      <w:r w:rsidR="00DF0AA0" w:rsidRPr="007368C9">
        <w:rPr>
          <w:rFonts w:ascii="Arial" w:hAnsi="Arial" w:cs="Arial"/>
          <w:sz w:val="24"/>
          <w:szCs w:val="24"/>
        </w:rPr>
        <w:t xml:space="preserve"> of the HSR to </w:t>
      </w:r>
      <w:r w:rsidR="004E452D" w:rsidRPr="007368C9">
        <w:rPr>
          <w:rFonts w:ascii="Arial" w:hAnsi="Arial" w:cs="Arial"/>
          <w:sz w:val="24"/>
          <w:szCs w:val="24"/>
        </w:rPr>
        <w:t xml:space="preserve">current </w:t>
      </w:r>
      <w:r w:rsidR="00DF0AA0" w:rsidRPr="007368C9">
        <w:rPr>
          <w:rFonts w:ascii="Arial" w:hAnsi="Arial" w:cs="Arial"/>
          <w:sz w:val="24"/>
          <w:szCs w:val="24"/>
        </w:rPr>
        <w:t>project data</w:t>
      </w:r>
      <w:r w:rsidR="00FC2570" w:rsidRPr="007368C9">
        <w:rPr>
          <w:rFonts w:ascii="Arial" w:hAnsi="Arial" w:cs="Arial"/>
          <w:sz w:val="24"/>
          <w:szCs w:val="24"/>
        </w:rPr>
        <w:t>, as discussed below</w:t>
      </w:r>
      <w:r w:rsidR="00DF0AA0" w:rsidRPr="007368C9">
        <w:rPr>
          <w:rFonts w:ascii="Arial" w:hAnsi="Arial" w:cs="Arial"/>
          <w:sz w:val="24"/>
          <w:szCs w:val="24"/>
        </w:rPr>
        <w:t>.</w:t>
      </w:r>
      <w:r w:rsidR="002B0875">
        <w:rPr>
          <w:rFonts w:ascii="Arial" w:hAnsi="Arial" w:cs="Arial"/>
          <w:sz w:val="24"/>
          <w:szCs w:val="24"/>
        </w:rPr>
        <w:br/>
      </w:r>
    </w:p>
    <w:p w:rsidR="00922864" w:rsidRPr="00012778" w:rsidRDefault="00922864" w:rsidP="000F2EF3">
      <w:pPr>
        <w:pStyle w:val="Heading3"/>
        <w:numPr>
          <w:ilvl w:val="2"/>
          <w:numId w:val="7"/>
        </w:numPr>
        <w:ind w:left="1440" w:hanging="720"/>
        <w:rPr>
          <w:rFonts w:ascii="Arial" w:hAnsi="Arial" w:cs="Arial"/>
          <w:sz w:val="24"/>
          <w:szCs w:val="24"/>
        </w:rPr>
      </w:pPr>
      <w:bookmarkStart w:id="15" w:name="_Toc414534274"/>
      <w:r w:rsidRPr="00012778">
        <w:rPr>
          <w:rFonts w:ascii="Arial" w:hAnsi="Arial" w:cs="Arial"/>
          <w:sz w:val="24"/>
          <w:szCs w:val="24"/>
        </w:rPr>
        <w:t>Determining the HSR</w:t>
      </w:r>
      <w:bookmarkEnd w:id="15"/>
      <w:r w:rsidR="002B0875">
        <w:rPr>
          <w:rFonts w:ascii="Arial" w:hAnsi="Arial" w:cs="Arial"/>
          <w:sz w:val="24"/>
          <w:szCs w:val="24"/>
        </w:rPr>
        <w:br/>
      </w:r>
    </w:p>
    <w:p w:rsidR="0017232E" w:rsidRPr="007368C9" w:rsidRDefault="00FC3072" w:rsidP="002B0875">
      <w:pPr>
        <w:ind w:left="720"/>
        <w:rPr>
          <w:rFonts w:ascii="Arial" w:hAnsi="Arial" w:cs="Arial"/>
          <w:sz w:val="24"/>
          <w:szCs w:val="24"/>
        </w:rPr>
      </w:pPr>
      <w:r w:rsidRPr="00C5699F">
        <w:rPr>
          <w:rFonts w:ascii="Arial" w:hAnsi="Arial" w:cs="Arial"/>
          <w:b/>
          <w:sz w:val="24"/>
          <w:szCs w:val="24"/>
        </w:rPr>
        <w:t>Option</w:t>
      </w:r>
      <w:r w:rsidR="0017232E" w:rsidRPr="00C5699F">
        <w:rPr>
          <w:rFonts w:ascii="Arial" w:hAnsi="Arial" w:cs="Arial"/>
          <w:b/>
          <w:sz w:val="24"/>
          <w:szCs w:val="24"/>
        </w:rPr>
        <w:t xml:space="preserve"> 1</w:t>
      </w:r>
      <w:r w:rsidR="009F4AEC" w:rsidRPr="00C5699F">
        <w:rPr>
          <w:rFonts w:ascii="Arial" w:hAnsi="Arial" w:cs="Arial"/>
          <w:b/>
          <w:sz w:val="24"/>
          <w:szCs w:val="24"/>
        </w:rPr>
        <w:t>:</w:t>
      </w:r>
      <w:r w:rsidR="0017232E" w:rsidRPr="007368C9">
        <w:rPr>
          <w:rFonts w:ascii="Arial" w:hAnsi="Arial" w:cs="Arial"/>
          <w:sz w:val="24"/>
          <w:szCs w:val="24"/>
        </w:rPr>
        <w:t xml:space="preserve">  Analysis using Historic Inventory Data</w:t>
      </w:r>
      <w:r w:rsidR="002B0875">
        <w:rPr>
          <w:rFonts w:ascii="Arial" w:hAnsi="Arial" w:cs="Arial"/>
          <w:sz w:val="24"/>
          <w:szCs w:val="24"/>
        </w:rPr>
        <w:br/>
      </w:r>
      <w:r w:rsidR="002B0875">
        <w:rPr>
          <w:rFonts w:ascii="Arial" w:hAnsi="Arial" w:cs="Arial"/>
          <w:sz w:val="24"/>
          <w:szCs w:val="24"/>
        </w:rPr>
        <w:br/>
      </w:r>
      <w:r w:rsidR="00E10469" w:rsidRPr="007368C9">
        <w:rPr>
          <w:rFonts w:ascii="Arial" w:hAnsi="Arial" w:cs="Arial"/>
          <w:sz w:val="24"/>
          <w:szCs w:val="24"/>
        </w:rPr>
        <w:t xml:space="preserve">For </w:t>
      </w:r>
      <w:r w:rsidR="0017232E" w:rsidRPr="007368C9">
        <w:rPr>
          <w:rFonts w:ascii="Arial" w:hAnsi="Arial" w:cs="Arial"/>
          <w:sz w:val="24"/>
          <w:szCs w:val="24"/>
        </w:rPr>
        <w:t xml:space="preserve">landowners with inventory data </w:t>
      </w:r>
      <w:r w:rsidR="00615488" w:rsidRPr="007368C9">
        <w:rPr>
          <w:rFonts w:ascii="Arial" w:hAnsi="Arial" w:cs="Arial"/>
          <w:sz w:val="24"/>
          <w:szCs w:val="24"/>
        </w:rPr>
        <w:t xml:space="preserve">for the property dating back </w:t>
      </w:r>
      <w:r w:rsidR="0017232E" w:rsidRPr="007368C9">
        <w:rPr>
          <w:rFonts w:ascii="Arial" w:hAnsi="Arial" w:cs="Arial"/>
          <w:sz w:val="24"/>
          <w:szCs w:val="24"/>
        </w:rPr>
        <w:t xml:space="preserve">10 years prior to the </w:t>
      </w:r>
      <w:r w:rsidR="0023521D">
        <w:rPr>
          <w:rFonts w:ascii="Arial" w:hAnsi="Arial" w:cs="Arial"/>
          <w:sz w:val="24"/>
          <w:szCs w:val="24"/>
        </w:rPr>
        <w:t>early action offset</w:t>
      </w:r>
      <w:r w:rsidR="00615488" w:rsidRPr="007368C9">
        <w:rPr>
          <w:rFonts w:ascii="Arial" w:hAnsi="Arial" w:cs="Arial"/>
          <w:sz w:val="24"/>
          <w:szCs w:val="24"/>
        </w:rPr>
        <w:t xml:space="preserve"> </w:t>
      </w:r>
      <w:r w:rsidR="0017232E" w:rsidRPr="007368C9">
        <w:rPr>
          <w:rFonts w:ascii="Arial" w:hAnsi="Arial" w:cs="Arial"/>
          <w:sz w:val="24"/>
          <w:szCs w:val="24"/>
        </w:rPr>
        <w:t xml:space="preserve">project commencement date, </w:t>
      </w:r>
      <w:r w:rsidR="00E10469" w:rsidRPr="007368C9">
        <w:rPr>
          <w:rFonts w:ascii="Arial" w:hAnsi="Arial" w:cs="Arial"/>
          <w:sz w:val="24"/>
          <w:szCs w:val="24"/>
        </w:rPr>
        <w:t xml:space="preserve">use </w:t>
      </w:r>
      <w:r w:rsidR="0017232E" w:rsidRPr="007368C9">
        <w:rPr>
          <w:rFonts w:ascii="Arial" w:hAnsi="Arial" w:cs="Arial"/>
          <w:sz w:val="24"/>
          <w:szCs w:val="24"/>
        </w:rPr>
        <w:t xml:space="preserve">the </w:t>
      </w:r>
      <w:r w:rsidR="00615488" w:rsidRPr="007368C9">
        <w:rPr>
          <w:rFonts w:ascii="Arial" w:hAnsi="Arial" w:cs="Arial"/>
          <w:sz w:val="24"/>
          <w:szCs w:val="24"/>
        </w:rPr>
        <w:t>same</w:t>
      </w:r>
      <w:r w:rsidR="0017232E" w:rsidRPr="007368C9">
        <w:rPr>
          <w:rFonts w:ascii="Arial" w:hAnsi="Arial" w:cs="Arial"/>
          <w:sz w:val="24"/>
          <w:szCs w:val="24"/>
        </w:rPr>
        <w:t xml:space="preserve"> methodology used to calculate the</w:t>
      </w:r>
      <w:r w:rsidR="0023521D">
        <w:rPr>
          <w:rFonts w:ascii="Arial" w:hAnsi="Arial" w:cs="Arial"/>
          <w:sz w:val="24"/>
          <w:szCs w:val="24"/>
        </w:rPr>
        <w:t xml:space="preserve"> </w:t>
      </w:r>
      <w:r w:rsidR="0017232E" w:rsidRPr="007368C9">
        <w:rPr>
          <w:rFonts w:ascii="Arial" w:hAnsi="Arial" w:cs="Arial"/>
          <w:sz w:val="24"/>
          <w:szCs w:val="24"/>
        </w:rPr>
        <w:t xml:space="preserve">project’s inventory at </w:t>
      </w:r>
      <w:r w:rsidR="009F4AEC" w:rsidRPr="007368C9">
        <w:rPr>
          <w:rFonts w:ascii="Arial" w:hAnsi="Arial" w:cs="Arial"/>
          <w:sz w:val="24"/>
          <w:szCs w:val="24"/>
        </w:rPr>
        <w:t>project commencement and verified during the project’s initial verification</w:t>
      </w:r>
      <w:r w:rsidR="0023521D">
        <w:rPr>
          <w:rFonts w:ascii="Arial" w:hAnsi="Arial" w:cs="Arial"/>
          <w:sz w:val="24"/>
          <w:szCs w:val="24"/>
        </w:rPr>
        <w:t xml:space="preserve"> to calculate historic AGSLCS</w:t>
      </w:r>
      <w:r w:rsidR="00C548CF">
        <w:rPr>
          <w:rFonts w:ascii="Arial" w:hAnsi="Arial" w:cs="Arial"/>
          <w:sz w:val="24"/>
          <w:szCs w:val="24"/>
        </w:rPr>
        <w:t xml:space="preserve"> per acre</w:t>
      </w:r>
      <w:r w:rsidR="009F4AEC" w:rsidRPr="007368C9">
        <w:rPr>
          <w:rFonts w:ascii="Arial" w:hAnsi="Arial" w:cs="Arial"/>
          <w:sz w:val="24"/>
          <w:szCs w:val="24"/>
        </w:rPr>
        <w:t>.</w:t>
      </w:r>
      <w:r w:rsidR="0023521D">
        <w:rPr>
          <w:rFonts w:ascii="Arial" w:hAnsi="Arial" w:cs="Arial"/>
          <w:sz w:val="24"/>
          <w:szCs w:val="24"/>
        </w:rPr>
        <w:t xml:space="preserve"> </w:t>
      </w:r>
      <w:r w:rsidR="009F4AEC" w:rsidRPr="007368C9">
        <w:rPr>
          <w:rFonts w:ascii="Arial" w:hAnsi="Arial" w:cs="Arial"/>
          <w:sz w:val="24"/>
          <w:szCs w:val="24"/>
        </w:rPr>
        <w:t xml:space="preserve"> </w:t>
      </w:r>
      <w:r w:rsidR="0017232E" w:rsidRPr="007368C9">
        <w:rPr>
          <w:rFonts w:ascii="Arial" w:hAnsi="Arial" w:cs="Arial"/>
          <w:sz w:val="24"/>
          <w:szCs w:val="24"/>
        </w:rPr>
        <w:t xml:space="preserve">In such cases, the </w:t>
      </w:r>
      <w:r w:rsidR="0023521D" w:rsidRPr="007368C9">
        <w:rPr>
          <w:rFonts w:ascii="Arial" w:hAnsi="Arial" w:cs="Arial"/>
          <w:sz w:val="24"/>
          <w:szCs w:val="24"/>
        </w:rPr>
        <w:t xml:space="preserve">highest </w:t>
      </w:r>
      <w:r w:rsidR="0017232E" w:rsidRPr="007368C9">
        <w:rPr>
          <w:rFonts w:ascii="Arial" w:hAnsi="Arial" w:cs="Arial"/>
          <w:sz w:val="24"/>
          <w:szCs w:val="24"/>
        </w:rPr>
        <w:t>historic (10</w:t>
      </w:r>
      <w:r w:rsidR="006B0DAB">
        <w:rPr>
          <w:rFonts w:ascii="Arial" w:hAnsi="Arial" w:cs="Arial"/>
          <w:sz w:val="24"/>
          <w:szCs w:val="24"/>
        </w:rPr>
        <w:t>-</w:t>
      </w:r>
      <w:r w:rsidR="0017232E" w:rsidRPr="007368C9">
        <w:rPr>
          <w:rFonts w:ascii="Arial" w:hAnsi="Arial" w:cs="Arial"/>
          <w:sz w:val="24"/>
          <w:szCs w:val="24"/>
        </w:rPr>
        <w:t>year</w:t>
      </w:r>
      <w:r w:rsidR="0023521D">
        <w:rPr>
          <w:rFonts w:ascii="Arial" w:hAnsi="Arial" w:cs="Arial"/>
          <w:sz w:val="24"/>
          <w:szCs w:val="24"/>
        </w:rPr>
        <w:t xml:space="preserve"> period</w:t>
      </w:r>
      <w:r w:rsidR="00615488" w:rsidRPr="007368C9">
        <w:rPr>
          <w:rFonts w:ascii="Arial" w:hAnsi="Arial" w:cs="Arial"/>
          <w:sz w:val="24"/>
          <w:szCs w:val="24"/>
        </w:rPr>
        <w:t xml:space="preserve"> prior to commencement</w:t>
      </w:r>
      <w:r w:rsidR="0017232E" w:rsidRPr="007368C9">
        <w:rPr>
          <w:rFonts w:ascii="Arial" w:hAnsi="Arial" w:cs="Arial"/>
          <w:sz w:val="24"/>
          <w:szCs w:val="24"/>
        </w:rPr>
        <w:t xml:space="preserve">) </w:t>
      </w:r>
      <w:r w:rsidR="0023521D">
        <w:rPr>
          <w:rFonts w:ascii="Arial" w:hAnsi="Arial" w:cs="Arial"/>
          <w:sz w:val="24"/>
          <w:szCs w:val="24"/>
        </w:rPr>
        <w:lastRenderedPageBreak/>
        <w:t>AGSLCS</w:t>
      </w:r>
      <w:r w:rsidR="0017232E" w:rsidRPr="007368C9">
        <w:rPr>
          <w:rFonts w:ascii="Arial" w:hAnsi="Arial" w:cs="Arial"/>
          <w:sz w:val="24"/>
          <w:szCs w:val="24"/>
        </w:rPr>
        <w:t xml:space="preserve"> </w:t>
      </w:r>
      <w:r w:rsidR="00310744">
        <w:rPr>
          <w:rFonts w:ascii="Arial" w:hAnsi="Arial" w:cs="Arial"/>
          <w:sz w:val="24"/>
          <w:szCs w:val="24"/>
        </w:rPr>
        <w:t>should</w:t>
      </w:r>
      <w:r w:rsidR="0017232E" w:rsidRPr="007368C9">
        <w:rPr>
          <w:rFonts w:ascii="Arial" w:hAnsi="Arial" w:cs="Arial"/>
          <w:sz w:val="24"/>
          <w:szCs w:val="24"/>
        </w:rPr>
        <w:t xml:space="preserve"> be used to calculate the </w:t>
      </w:r>
      <w:r w:rsidR="001B03AF" w:rsidRPr="007368C9">
        <w:rPr>
          <w:rFonts w:ascii="Arial" w:hAnsi="Arial" w:cs="Arial"/>
          <w:sz w:val="24"/>
          <w:szCs w:val="24"/>
        </w:rPr>
        <w:t>HSR</w:t>
      </w:r>
      <w:r w:rsidR="00111021">
        <w:rPr>
          <w:rFonts w:ascii="Arial" w:hAnsi="Arial" w:cs="Arial"/>
          <w:sz w:val="24"/>
          <w:szCs w:val="24"/>
        </w:rPr>
        <w:t>.</w:t>
      </w:r>
      <w:r w:rsidR="006B0DAB">
        <w:rPr>
          <w:rStyle w:val="FootnoteReference"/>
          <w:rFonts w:ascii="Arial" w:hAnsi="Arial" w:cs="Arial"/>
          <w:sz w:val="24"/>
          <w:szCs w:val="24"/>
        </w:rPr>
        <w:footnoteReference w:id="6"/>
      </w:r>
      <w:r w:rsidR="006B0DAB">
        <w:rPr>
          <w:rFonts w:ascii="Arial" w:hAnsi="Arial" w:cs="Arial"/>
          <w:sz w:val="24"/>
          <w:szCs w:val="24"/>
        </w:rPr>
        <w:t xml:space="preserve"> Note that there is only one project commencement date</w:t>
      </w:r>
      <w:r w:rsidR="00111021">
        <w:rPr>
          <w:rFonts w:ascii="Arial" w:hAnsi="Arial" w:cs="Arial"/>
          <w:sz w:val="24"/>
          <w:szCs w:val="24"/>
        </w:rPr>
        <w:t xml:space="preserve"> - </w:t>
      </w:r>
      <w:r w:rsidR="006B0DAB">
        <w:rPr>
          <w:rFonts w:ascii="Arial" w:hAnsi="Arial" w:cs="Arial"/>
          <w:sz w:val="24"/>
          <w:szCs w:val="24"/>
        </w:rPr>
        <w:t xml:space="preserve">that of the original </w:t>
      </w:r>
      <w:r w:rsidR="00111021">
        <w:rPr>
          <w:rFonts w:ascii="Arial" w:hAnsi="Arial" w:cs="Arial"/>
          <w:sz w:val="24"/>
          <w:szCs w:val="24"/>
        </w:rPr>
        <w:t>e</w:t>
      </w:r>
      <w:r w:rsidR="006B0DAB">
        <w:rPr>
          <w:rFonts w:ascii="Arial" w:hAnsi="Arial" w:cs="Arial"/>
          <w:sz w:val="24"/>
          <w:szCs w:val="24"/>
        </w:rPr>
        <w:t xml:space="preserve">arly </w:t>
      </w:r>
      <w:r w:rsidR="00111021">
        <w:rPr>
          <w:rFonts w:ascii="Arial" w:hAnsi="Arial" w:cs="Arial"/>
          <w:sz w:val="24"/>
          <w:szCs w:val="24"/>
        </w:rPr>
        <w:t>a</w:t>
      </w:r>
      <w:r w:rsidR="006B0DAB">
        <w:rPr>
          <w:rFonts w:ascii="Arial" w:hAnsi="Arial" w:cs="Arial"/>
          <w:sz w:val="24"/>
          <w:szCs w:val="24"/>
        </w:rPr>
        <w:t xml:space="preserve">ction project commencement date.  </w:t>
      </w:r>
    </w:p>
    <w:p w:rsidR="0017232E" w:rsidRPr="007368C9" w:rsidRDefault="00FC3072" w:rsidP="000F2EF3">
      <w:pPr>
        <w:ind w:left="720" w:firstLine="18"/>
        <w:rPr>
          <w:rFonts w:ascii="Arial" w:hAnsi="Arial" w:cs="Arial"/>
          <w:sz w:val="24"/>
          <w:szCs w:val="24"/>
        </w:rPr>
      </w:pPr>
      <w:r w:rsidRPr="00C5699F">
        <w:rPr>
          <w:rFonts w:ascii="Arial" w:hAnsi="Arial" w:cs="Arial"/>
          <w:b/>
          <w:sz w:val="24"/>
          <w:szCs w:val="24"/>
        </w:rPr>
        <w:t>Option</w:t>
      </w:r>
      <w:r w:rsidR="0017232E" w:rsidRPr="00C5699F">
        <w:rPr>
          <w:rFonts w:ascii="Arial" w:hAnsi="Arial" w:cs="Arial"/>
          <w:b/>
          <w:sz w:val="24"/>
          <w:szCs w:val="24"/>
        </w:rPr>
        <w:t xml:space="preserve"> 2</w:t>
      </w:r>
      <w:r w:rsidR="009F4AEC" w:rsidRPr="00C5699F">
        <w:rPr>
          <w:rFonts w:ascii="Arial" w:hAnsi="Arial" w:cs="Arial"/>
          <w:b/>
          <w:sz w:val="24"/>
          <w:szCs w:val="24"/>
        </w:rPr>
        <w:t>:</w:t>
      </w:r>
      <w:r w:rsidR="0017232E" w:rsidRPr="007368C9">
        <w:rPr>
          <w:rFonts w:ascii="Arial" w:hAnsi="Arial" w:cs="Arial"/>
          <w:sz w:val="24"/>
          <w:szCs w:val="24"/>
        </w:rPr>
        <w:t xml:space="preserve">  Analysis using </w:t>
      </w:r>
      <w:r w:rsidR="0023521D">
        <w:rPr>
          <w:rFonts w:ascii="Arial" w:hAnsi="Arial" w:cs="Arial"/>
          <w:sz w:val="24"/>
          <w:szCs w:val="24"/>
        </w:rPr>
        <w:t>Estimated Inventory Data</w:t>
      </w:r>
    </w:p>
    <w:p w:rsidR="00B76EED" w:rsidRPr="002B0875" w:rsidRDefault="0017232E" w:rsidP="000F2EF3">
      <w:pPr>
        <w:pStyle w:val="ListParagraph"/>
        <w:numPr>
          <w:ilvl w:val="4"/>
          <w:numId w:val="7"/>
        </w:numPr>
        <w:ind w:left="1080" w:hanging="378"/>
        <w:rPr>
          <w:rFonts w:ascii="Arial" w:hAnsi="Arial" w:cs="Arial"/>
          <w:sz w:val="24"/>
          <w:szCs w:val="24"/>
        </w:rPr>
      </w:pPr>
      <w:r w:rsidRPr="002B0875">
        <w:rPr>
          <w:rFonts w:ascii="Arial" w:hAnsi="Arial" w:cs="Arial"/>
          <w:sz w:val="24"/>
          <w:szCs w:val="24"/>
        </w:rPr>
        <w:t xml:space="preserve">Estimate the project’s tree canopy area (defined as the area of the project </w:t>
      </w:r>
      <w:r w:rsidR="00D05BE5">
        <w:rPr>
          <w:rFonts w:ascii="Arial" w:hAnsi="Arial" w:cs="Arial"/>
          <w:sz w:val="24"/>
          <w:szCs w:val="24"/>
        </w:rPr>
        <w:t xml:space="preserve">under </w:t>
      </w:r>
      <w:r w:rsidRPr="002B0875">
        <w:rPr>
          <w:rFonts w:ascii="Arial" w:hAnsi="Arial" w:cs="Arial"/>
          <w:sz w:val="24"/>
          <w:szCs w:val="24"/>
        </w:rPr>
        <w:t xml:space="preserve">tree canopy cover) </w:t>
      </w:r>
      <w:r w:rsidR="001B03AF" w:rsidRPr="002B0875">
        <w:rPr>
          <w:rFonts w:ascii="Arial" w:hAnsi="Arial" w:cs="Arial"/>
          <w:sz w:val="24"/>
          <w:szCs w:val="24"/>
        </w:rPr>
        <w:t xml:space="preserve">at commencement date </w:t>
      </w:r>
      <w:r w:rsidRPr="002B0875">
        <w:rPr>
          <w:rFonts w:ascii="Arial" w:hAnsi="Arial" w:cs="Arial"/>
          <w:sz w:val="24"/>
          <w:szCs w:val="24"/>
        </w:rPr>
        <w:t>using the U</w:t>
      </w:r>
      <w:r w:rsidR="00615488" w:rsidRPr="002B0875">
        <w:rPr>
          <w:rFonts w:ascii="Arial" w:hAnsi="Arial" w:cs="Arial"/>
          <w:sz w:val="24"/>
          <w:szCs w:val="24"/>
        </w:rPr>
        <w:t>.</w:t>
      </w:r>
      <w:r w:rsidRPr="002B0875">
        <w:rPr>
          <w:rFonts w:ascii="Arial" w:hAnsi="Arial" w:cs="Arial"/>
          <w:sz w:val="24"/>
          <w:szCs w:val="24"/>
        </w:rPr>
        <w:t>S</w:t>
      </w:r>
      <w:r w:rsidR="00615488" w:rsidRPr="002B0875">
        <w:rPr>
          <w:rFonts w:ascii="Arial" w:hAnsi="Arial" w:cs="Arial"/>
          <w:sz w:val="24"/>
          <w:szCs w:val="24"/>
        </w:rPr>
        <w:t>.</w:t>
      </w:r>
      <w:r w:rsidRPr="002B0875">
        <w:rPr>
          <w:rFonts w:ascii="Arial" w:hAnsi="Arial" w:cs="Arial"/>
          <w:sz w:val="24"/>
          <w:szCs w:val="24"/>
        </w:rPr>
        <w:t xml:space="preserve"> Forest Service’s iTree Canopy tools (available online).  The iTree canopy tools establish random points within a user-defined area.  The user will attribute the random points </w:t>
      </w:r>
      <w:proofErr w:type="gramStart"/>
      <w:r w:rsidRPr="002B0875">
        <w:rPr>
          <w:rFonts w:ascii="Arial" w:hAnsi="Arial" w:cs="Arial"/>
          <w:sz w:val="24"/>
          <w:szCs w:val="24"/>
        </w:rPr>
        <w:t xml:space="preserve">to </w:t>
      </w:r>
      <w:r w:rsidR="00C548CF" w:rsidRPr="002B0875">
        <w:rPr>
          <w:rFonts w:ascii="Arial" w:hAnsi="Arial" w:cs="Arial"/>
          <w:sz w:val="24"/>
          <w:szCs w:val="24"/>
        </w:rPr>
        <w:t xml:space="preserve"> generate</w:t>
      </w:r>
      <w:proofErr w:type="gramEnd"/>
      <w:r w:rsidRPr="002B0875">
        <w:rPr>
          <w:rFonts w:ascii="Arial" w:hAnsi="Arial" w:cs="Arial"/>
          <w:sz w:val="24"/>
          <w:szCs w:val="24"/>
        </w:rPr>
        <w:t xml:space="preserve"> an estimate of the percent canopy within the project boundaries. </w:t>
      </w:r>
      <w:r w:rsidR="00615488" w:rsidRPr="002B0875">
        <w:rPr>
          <w:rFonts w:ascii="Arial" w:hAnsi="Arial" w:cs="Arial"/>
          <w:sz w:val="24"/>
          <w:szCs w:val="24"/>
        </w:rPr>
        <w:t xml:space="preserve"> </w:t>
      </w:r>
      <w:r w:rsidRPr="002B0875">
        <w:rPr>
          <w:rFonts w:ascii="Arial" w:hAnsi="Arial" w:cs="Arial"/>
          <w:sz w:val="24"/>
          <w:szCs w:val="24"/>
        </w:rPr>
        <w:t xml:space="preserve">Confidence of the </w:t>
      </w:r>
      <w:r w:rsidR="00C548CF" w:rsidRPr="002B0875">
        <w:rPr>
          <w:rFonts w:ascii="Arial" w:hAnsi="Arial" w:cs="Arial"/>
          <w:sz w:val="24"/>
          <w:szCs w:val="24"/>
        </w:rPr>
        <w:t xml:space="preserve">percent </w:t>
      </w:r>
      <w:r w:rsidRPr="002B0875">
        <w:rPr>
          <w:rFonts w:ascii="Arial" w:hAnsi="Arial" w:cs="Arial"/>
          <w:sz w:val="24"/>
          <w:szCs w:val="24"/>
        </w:rPr>
        <w:t xml:space="preserve">canopy estimate </w:t>
      </w:r>
      <w:r w:rsidR="0023521D" w:rsidRPr="002B0875">
        <w:rPr>
          <w:rFonts w:ascii="Arial" w:hAnsi="Arial" w:cs="Arial"/>
          <w:sz w:val="24"/>
          <w:szCs w:val="24"/>
        </w:rPr>
        <w:t>should</w:t>
      </w:r>
      <w:r w:rsidR="00C548CF" w:rsidRPr="002B0875">
        <w:rPr>
          <w:rFonts w:ascii="Arial" w:hAnsi="Arial" w:cs="Arial"/>
          <w:sz w:val="24"/>
          <w:szCs w:val="24"/>
        </w:rPr>
        <w:t xml:space="preserve"> meet or exceed </w:t>
      </w:r>
      <w:r w:rsidR="0023521D" w:rsidRPr="002B0875">
        <w:rPr>
          <w:rFonts w:ascii="Arial" w:hAnsi="Arial" w:cs="Arial"/>
          <w:sz w:val="24"/>
          <w:szCs w:val="24"/>
        </w:rPr>
        <w:t>±10% at one standard error.</w:t>
      </w:r>
      <w:r w:rsidRPr="002B0875">
        <w:rPr>
          <w:rFonts w:ascii="Arial" w:hAnsi="Arial" w:cs="Arial"/>
          <w:sz w:val="24"/>
          <w:szCs w:val="24"/>
        </w:rPr>
        <w:t xml:space="preserve">  </w:t>
      </w:r>
      <w:r w:rsidR="001B03AF" w:rsidRPr="002B0875">
        <w:rPr>
          <w:rFonts w:ascii="Arial" w:hAnsi="Arial" w:cs="Arial"/>
          <w:sz w:val="24"/>
          <w:szCs w:val="24"/>
        </w:rPr>
        <w:t>Use the percent canopy to</w:t>
      </w:r>
      <w:r w:rsidRPr="002B0875">
        <w:rPr>
          <w:rFonts w:ascii="Arial" w:hAnsi="Arial" w:cs="Arial"/>
          <w:sz w:val="24"/>
          <w:szCs w:val="24"/>
        </w:rPr>
        <w:t xml:space="preserve"> estimate the square feet of canopy area within the project area.</w:t>
      </w:r>
    </w:p>
    <w:p w:rsidR="00B76EED" w:rsidRPr="007368C9" w:rsidRDefault="001274A7" w:rsidP="000F2EF3">
      <w:pPr>
        <w:pStyle w:val="ListParagraph"/>
        <w:numPr>
          <w:ilvl w:val="4"/>
          <w:numId w:val="7"/>
        </w:numPr>
        <w:ind w:left="1080" w:hanging="378"/>
        <w:rPr>
          <w:rFonts w:ascii="Arial" w:hAnsi="Arial" w:cs="Arial"/>
          <w:sz w:val="24"/>
          <w:szCs w:val="24"/>
        </w:rPr>
      </w:pPr>
      <w:r>
        <w:rPr>
          <w:rFonts w:ascii="Arial" w:hAnsi="Arial" w:cs="Arial"/>
          <w:sz w:val="24"/>
          <w:szCs w:val="24"/>
        </w:rPr>
        <w:t>Develop a metric ton CO</w:t>
      </w:r>
      <w:r w:rsidRPr="00451798">
        <w:rPr>
          <w:rFonts w:ascii="Arial" w:hAnsi="Arial" w:cs="Arial"/>
          <w:sz w:val="24"/>
          <w:szCs w:val="24"/>
          <w:vertAlign w:val="subscript"/>
        </w:rPr>
        <w:t>2</w:t>
      </w:r>
      <w:r>
        <w:rPr>
          <w:rFonts w:ascii="Arial" w:hAnsi="Arial" w:cs="Arial"/>
          <w:sz w:val="24"/>
          <w:szCs w:val="24"/>
        </w:rPr>
        <w:t>e per square foot</w:t>
      </w:r>
      <w:r w:rsidR="00E33073" w:rsidRPr="007368C9">
        <w:rPr>
          <w:rFonts w:ascii="Arial" w:hAnsi="Arial" w:cs="Arial"/>
          <w:sz w:val="24"/>
          <w:szCs w:val="24"/>
        </w:rPr>
        <w:t xml:space="preserve"> </w:t>
      </w:r>
      <w:r>
        <w:rPr>
          <w:rFonts w:ascii="Arial" w:hAnsi="Arial" w:cs="Arial"/>
          <w:sz w:val="24"/>
          <w:szCs w:val="24"/>
        </w:rPr>
        <w:t xml:space="preserve">of canopy area </w:t>
      </w:r>
      <w:r w:rsidR="00C548CF">
        <w:rPr>
          <w:rFonts w:ascii="Arial" w:hAnsi="Arial" w:cs="Arial"/>
          <w:sz w:val="24"/>
          <w:szCs w:val="24"/>
        </w:rPr>
        <w:t>value</w:t>
      </w:r>
      <w:r w:rsidR="00E33073" w:rsidRPr="007368C9">
        <w:rPr>
          <w:rFonts w:ascii="Arial" w:hAnsi="Arial" w:cs="Arial"/>
          <w:sz w:val="24"/>
          <w:szCs w:val="24"/>
        </w:rPr>
        <w:t xml:space="preserve"> by dividing the project’s metric tons CO</w:t>
      </w:r>
      <w:r w:rsidR="00E33073" w:rsidRPr="00451798">
        <w:rPr>
          <w:rFonts w:ascii="Arial" w:hAnsi="Arial" w:cs="Arial"/>
          <w:sz w:val="24"/>
          <w:szCs w:val="24"/>
          <w:vertAlign w:val="subscript"/>
        </w:rPr>
        <w:t>2</w:t>
      </w:r>
      <w:r w:rsidR="00E33073" w:rsidRPr="007368C9">
        <w:rPr>
          <w:rFonts w:ascii="Arial" w:hAnsi="Arial" w:cs="Arial"/>
          <w:sz w:val="24"/>
          <w:szCs w:val="24"/>
        </w:rPr>
        <w:t xml:space="preserve">e estimate for the total </w:t>
      </w:r>
      <w:r w:rsidR="00C548CF">
        <w:rPr>
          <w:rFonts w:ascii="Arial" w:hAnsi="Arial" w:cs="Arial"/>
          <w:sz w:val="24"/>
          <w:szCs w:val="24"/>
        </w:rPr>
        <w:t>AGSLCS</w:t>
      </w:r>
      <w:r w:rsidR="00E33073" w:rsidRPr="007368C9">
        <w:rPr>
          <w:rFonts w:ascii="Arial" w:hAnsi="Arial" w:cs="Arial"/>
          <w:sz w:val="24"/>
          <w:szCs w:val="24"/>
        </w:rPr>
        <w:t xml:space="preserve"> from commencement date inventory data by the project’s canopy area estimate at commencement date from step 1.</w:t>
      </w:r>
    </w:p>
    <w:p w:rsidR="00B76EED" w:rsidRPr="001E1DFD" w:rsidRDefault="0017232E" w:rsidP="000F2EF3">
      <w:pPr>
        <w:pStyle w:val="ListParagraph"/>
        <w:numPr>
          <w:ilvl w:val="4"/>
          <w:numId w:val="7"/>
        </w:numPr>
        <w:ind w:left="1080" w:hanging="360"/>
        <w:rPr>
          <w:rFonts w:ascii="Arial" w:hAnsi="Arial" w:cs="Arial"/>
          <w:sz w:val="24"/>
          <w:szCs w:val="24"/>
        </w:rPr>
      </w:pPr>
      <w:r w:rsidRPr="001E1DFD">
        <w:rPr>
          <w:rFonts w:ascii="Arial" w:hAnsi="Arial" w:cs="Arial"/>
          <w:sz w:val="24"/>
          <w:szCs w:val="24"/>
        </w:rPr>
        <w:t xml:space="preserve">Estimate the project’s </w:t>
      </w:r>
      <w:r w:rsidR="001274A7" w:rsidRPr="001E1DFD">
        <w:rPr>
          <w:rFonts w:ascii="Arial" w:hAnsi="Arial" w:cs="Arial"/>
          <w:sz w:val="24"/>
          <w:szCs w:val="24"/>
        </w:rPr>
        <w:t xml:space="preserve">historical </w:t>
      </w:r>
      <w:r w:rsidRPr="001E1DFD">
        <w:rPr>
          <w:rFonts w:ascii="Arial" w:hAnsi="Arial" w:cs="Arial"/>
          <w:sz w:val="24"/>
          <w:szCs w:val="24"/>
        </w:rPr>
        <w:t xml:space="preserve">tree canopy for </w:t>
      </w:r>
      <w:r w:rsidR="00C548CF" w:rsidRPr="001E1DFD">
        <w:rPr>
          <w:rFonts w:ascii="Arial" w:hAnsi="Arial" w:cs="Arial"/>
          <w:sz w:val="24"/>
          <w:szCs w:val="24"/>
        </w:rPr>
        <w:t>several</w:t>
      </w:r>
      <w:r w:rsidRPr="001E1DFD">
        <w:rPr>
          <w:rFonts w:ascii="Arial" w:hAnsi="Arial" w:cs="Arial"/>
          <w:sz w:val="24"/>
          <w:szCs w:val="24"/>
        </w:rPr>
        <w:t xml:space="preserve"> point</w:t>
      </w:r>
      <w:r w:rsidR="00C548CF" w:rsidRPr="001E1DFD">
        <w:rPr>
          <w:rFonts w:ascii="Arial" w:hAnsi="Arial" w:cs="Arial"/>
          <w:sz w:val="24"/>
          <w:szCs w:val="24"/>
        </w:rPr>
        <w:t>s</w:t>
      </w:r>
      <w:r w:rsidRPr="001E1DFD">
        <w:rPr>
          <w:rFonts w:ascii="Arial" w:hAnsi="Arial" w:cs="Arial"/>
          <w:sz w:val="24"/>
          <w:szCs w:val="24"/>
        </w:rPr>
        <w:t xml:space="preserve"> in time </w:t>
      </w:r>
      <w:r w:rsidR="00E33073" w:rsidRPr="001E1DFD">
        <w:rPr>
          <w:rFonts w:ascii="Arial" w:hAnsi="Arial" w:cs="Arial"/>
          <w:sz w:val="24"/>
          <w:szCs w:val="24"/>
        </w:rPr>
        <w:t>up to</w:t>
      </w:r>
      <w:r w:rsidR="009A1B68">
        <w:rPr>
          <w:rFonts w:ascii="Arial" w:hAnsi="Arial" w:cs="Arial"/>
          <w:sz w:val="24"/>
          <w:szCs w:val="24"/>
        </w:rPr>
        <w:t xml:space="preserve"> </w:t>
      </w:r>
      <w:r w:rsidR="00C548CF" w:rsidRPr="001E1DFD">
        <w:rPr>
          <w:rFonts w:ascii="Arial" w:hAnsi="Arial" w:cs="Arial"/>
          <w:sz w:val="24"/>
          <w:szCs w:val="24"/>
        </w:rPr>
        <w:t xml:space="preserve">10 </w:t>
      </w:r>
      <w:r w:rsidRPr="001E1DFD">
        <w:rPr>
          <w:rFonts w:ascii="Arial" w:hAnsi="Arial" w:cs="Arial"/>
          <w:sz w:val="24"/>
          <w:szCs w:val="24"/>
        </w:rPr>
        <w:t>years</w:t>
      </w:r>
      <w:r w:rsidR="008F382F" w:rsidRPr="001E1DFD">
        <w:rPr>
          <w:rFonts w:ascii="Arial" w:hAnsi="Arial" w:cs="Arial"/>
          <w:sz w:val="24"/>
          <w:szCs w:val="24"/>
        </w:rPr>
        <w:t>,</w:t>
      </w:r>
      <w:r w:rsidR="001E1DFD" w:rsidRPr="001E1DFD">
        <w:rPr>
          <w:rFonts w:ascii="Arial" w:hAnsi="Arial" w:cs="Arial"/>
          <w:sz w:val="24"/>
          <w:szCs w:val="24"/>
        </w:rPr>
        <w:t xml:space="preserve"> </w:t>
      </w:r>
      <w:r w:rsidR="008F382F" w:rsidRPr="001E1DFD">
        <w:rPr>
          <w:rFonts w:ascii="Arial" w:hAnsi="Arial" w:cs="Arial"/>
          <w:sz w:val="24"/>
          <w:szCs w:val="24"/>
        </w:rPr>
        <w:t>using several</w:t>
      </w:r>
      <w:r w:rsidR="007D734D" w:rsidRPr="001E1DFD">
        <w:rPr>
          <w:rFonts w:ascii="Arial" w:hAnsi="Arial" w:cs="Arial"/>
          <w:sz w:val="24"/>
          <w:szCs w:val="24"/>
        </w:rPr>
        <w:t xml:space="preserve"> points</w:t>
      </w:r>
      <w:r w:rsidR="001E1DFD" w:rsidRPr="001E1DFD">
        <w:rPr>
          <w:rFonts w:ascii="Arial" w:hAnsi="Arial" w:cs="Arial"/>
          <w:sz w:val="24"/>
          <w:szCs w:val="24"/>
        </w:rPr>
        <w:t xml:space="preserve"> spanning the 10 years (with at least one point between 8</w:t>
      </w:r>
      <w:r w:rsidR="008F382F" w:rsidRPr="001E1DFD">
        <w:rPr>
          <w:rFonts w:ascii="Arial" w:hAnsi="Arial" w:cs="Arial"/>
          <w:sz w:val="24"/>
          <w:szCs w:val="24"/>
        </w:rPr>
        <w:t>-10 years</w:t>
      </w:r>
      <w:r w:rsidR="001E1DFD" w:rsidRPr="001E1DFD">
        <w:rPr>
          <w:rFonts w:ascii="Arial" w:hAnsi="Arial" w:cs="Arial"/>
          <w:sz w:val="24"/>
          <w:szCs w:val="24"/>
        </w:rPr>
        <w:t xml:space="preserve">) </w:t>
      </w:r>
      <w:r w:rsidRPr="001E1DFD">
        <w:rPr>
          <w:rFonts w:ascii="Arial" w:hAnsi="Arial" w:cs="Arial"/>
          <w:sz w:val="24"/>
          <w:szCs w:val="24"/>
        </w:rPr>
        <w:t>prior to the</w:t>
      </w:r>
      <w:r w:rsidR="001B03AF" w:rsidRPr="001E1DFD">
        <w:rPr>
          <w:rFonts w:ascii="Arial" w:hAnsi="Arial" w:cs="Arial"/>
          <w:sz w:val="24"/>
          <w:szCs w:val="24"/>
        </w:rPr>
        <w:t xml:space="preserve"> </w:t>
      </w:r>
      <w:r w:rsidR="00C548CF" w:rsidRPr="001E1DFD">
        <w:rPr>
          <w:rFonts w:ascii="Arial" w:hAnsi="Arial" w:cs="Arial"/>
          <w:sz w:val="24"/>
          <w:szCs w:val="24"/>
        </w:rPr>
        <w:t xml:space="preserve">early action offset </w:t>
      </w:r>
      <w:r w:rsidR="001B03AF" w:rsidRPr="001E1DFD">
        <w:rPr>
          <w:rFonts w:ascii="Arial" w:hAnsi="Arial" w:cs="Arial"/>
          <w:sz w:val="24"/>
          <w:szCs w:val="24"/>
        </w:rPr>
        <w:t>project’s commencement date by importing</w:t>
      </w:r>
      <w:r w:rsidRPr="001E1DFD">
        <w:rPr>
          <w:rFonts w:ascii="Arial" w:hAnsi="Arial" w:cs="Arial"/>
          <w:sz w:val="24"/>
          <w:szCs w:val="24"/>
        </w:rPr>
        <w:t xml:space="preserve"> the same points generated in Step 1 </w:t>
      </w:r>
      <w:r w:rsidR="001B03AF" w:rsidRPr="001E1DFD">
        <w:rPr>
          <w:rFonts w:ascii="Arial" w:hAnsi="Arial" w:cs="Arial"/>
          <w:sz w:val="24"/>
          <w:szCs w:val="24"/>
        </w:rPr>
        <w:t>by</w:t>
      </w:r>
      <w:r w:rsidRPr="001E1DFD">
        <w:rPr>
          <w:rFonts w:ascii="Arial" w:hAnsi="Arial" w:cs="Arial"/>
          <w:sz w:val="24"/>
          <w:szCs w:val="24"/>
        </w:rPr>
        <w:t xml:space="preserve"> the iTree</w:t>
      </w:r>
      <w:r w:rsidR="001B03AF" w:rsidRPr="001E1DFD">
        <w:rPr>
          <w:rFonts w:ascii="Arial" w:hAnsi="Arial" w:cs="Arial"/>
          <w:sz w:val="24"/>
          <w:szCs w:val="24"/>
        </w:rPr>
        <w:t xml:space="preserve"> Canopy tool</w:t>
      </w:r>
      <w:r w:rsidRPr="001E1DFD">
        <w:rPr>
          <w:rFonts w:ascii="Arial" w:hAnsi="Arial" w:cs="Arial"/>
          <w:sz w:val="24"/>
          <w:szCs w:val="24"/>
        </w:rPr>
        <w:t xml:space="preserve"> into Google maps where </w:t>
      </w:r>
      <w:r w:rsidR="00C548CF" w:rsidRPr="001E1DFD">
        <w:rPr>
          <w:rFonts w:ascii="Arial" w:hAnsi="Arial" w:cs="Arial"/>
          <w:sz w:val="24"/>
          <w:szCs w:val="24"/>
        </w:rPr>
        <w:t xml:space="preserve">historical </w:t>
      </w:r>
      <w:r w:rsidRPr="001E1DFD">
        <w:rPr>
          <w:rFonts w:ascii="Arial" w:hAnsi="Arial" w:cs="Arial"/>
          <w:sz w:val="24"/>
          <w:szCs w:val="24"/>
        </w:rPr>
        <w:t>image</w:t>
      </w:r>
      <w:r w:rsidR="00C548CF" w:rsidRPr="001E1DFD">
        <w:rPr>
          <w:rFonts w:ascii="Arial" w:hAnsi="Arial" w:cs="Arial"/>
          <w:sz w:val="24"/>
          <w:szCs w:val="24"/>
        </w:rPr>
        <w:t>s</w:t>
      </w:r>
      <w:r w:rsidRPr="001E1DFD">
        <w:rPr>
          <w:rFonts w:ascii="Arial" w:hAnsi="Arial" w:cs="Arial"/>
          <w:sz w:val="24"/>
          <w:szCs w:val="24"/>
        </w:rPr>
        <w:t xml:space="preserve"> can be queried.  Attribute the points </w:t>
      </w:r>
      <w:r w:rsidR="001B03AF" w:rsidRPr="001E1DFD">
        <w:rPr>
          <w:rFonts w:ascii="Arial" w:hAnsi="Arial" w:cs="Arial"/>
          <w:sz w:val="24"/>
          <w:szCs w:val="24"/>
        </w:rPr>
        <w:t>using the</w:t>
      </w:r>
      <w:r w:rsidRPr="001E1DFD">
        <w:rPr>
          <w:rFonts w:ascii="Arial" w:hAnsi="Arial" w:cs="Arial"/>
          <w:sz w:val="24"/>
          <w:szCs w:val="24"/>
        </w:rPr>
        <w:t xml:space="preserve"> scheme </w:t>
      </w:r>
      <w:r w:rsidR="00E33073" w:rsidRPr="001E1DFD">
        <w:rPr>
          <w:rFonts w:ascii="Arial" w:hAnsi="Arial" w:cs="Arial"/>
          <w:sz w:val="24"/>
          <w:szCs w:val="24"/>
        </w:rPr>
        <w:t>in s</w:t>
      </w:r>
      <w:r w:rsidRPr="001E1DFD">
        <w:rPr>
          <w:rFonts w:ascii="Arial" w:hAnsi="Arial" w:cs="Arial"/>
          <w:sz w:val="24"/>
          <w:szCs w:val="24"/>
        </w:rPr>
        <w:t xml:space="preserve">tep 1 to generate </w:t>
      </w:r>
      <w:r w:rsidR="00E33073" w:rsidRPr="001E1DFD">
        <w:rPr>
          <w:rFonts w:ascii="Arial" w:hAnsi="Arial" w:cs="Arial"/>
          <w:sz w:val="24"/>
          <w:szCs w:val="24"/>
        </w:rPr>
        <w:t xml:space="preserve">historic </w:t>
      </w:r>
      <w:r w:rsidRPr="001E1DFD">
        <w:rPr>
          <w:rFonts w:ascii="Arial" w:hAnsi="Arial" w:cs="Arial"/>
          <w:sz w:val="24"/>
          <w:szCs w:val="24"/>
        </w:rPr>
        <w:t>estimate</w:t>
      </w:r>
      <w:r w:rsidR="001274A7" w:rsidRPr="001E1DFD">
        <w:rPr>
          <w:rFonts w:ascii="Arial" w:hAnsi="Arial" w:cs="Arial"/>
          <w:sz w:val="24"/>
          <w:szCs w:val="24"/>
        </w:rPr>
        <w:t>s</w:t>
      </w:r>
      <w:r w:rsidRPr="001E1DFD">
        <w:rPr>
          <w:rFonts w:ascii="Arial" w:hAnsi="Arial" w:cs="Arial"/>
          <w:sz w:val="24"/>
          <w:szCs w:val="24"/>
        </w:rPr>
        <w:t xml:space="preserve"> of the </w:t>
      </w:r>
      <w:r w:rsidR="001274A7" w:rsidRPr="001E1DFD">
        <w:rPr>
          <w:rFonts w:ascii="Arial" w:hAnsi="Arial" w:cs="Arial"/>
          <w:sz w:val="24"/>
          <w:szCs w:val="24"/>
        </w:rPr>
        <w:t xml:space="preserve">historical </w:t>
      </w:r>
      <w:r w:rsidR="001B03AF" w:rsidRPr="001E1DFD">
        <w:rPr>
          <w:rFonts w:ascii="Arial" w:hAnsi="Arial" w:cs="Arial"/>
          <w:sz w:val="24"/>
          <w:szCs w:val="24"/>
        </w:rPr>
        <w:t xml:space="preserve">percent </w:t>
      </w:r>
      <w:r w:rsidRPr="001E1DFD">
        <w:rPr>
          <w:rFonts w:ascii="Arial" w:hAnsi="Arial" w:cs="Arial"/>
          <w:sz w:val="24"/>
          <w:szCs w:val="24"/>
        </w:rPr>
        <w:t xml:space="preserve">canopy.  </w:t>
      </w:r>
      <w:r w:rsidR="001B03AF" w:rsidRPr="001E1DFD">
        <w:rPr>
          <w:rFonts w:ascii="Arial" w:hAnsi="Arial" w:cs="Arial"/>
          <w:sz w:val="24"/>
          <w:szCs w:val="24"/>
        </w:rPr>
        <w:t xml:space="preserve">Use the </w:t>
      </w:r>
      <w:r w:rsidR="001274A7" w:rsidRPr="001E1DFD">
        <w:rPr>
          <w:rFonts w:ascii="Arial" w:hAnsi="Arial" w:cs="Arial"/>
          <w:sz w:val="24"/>
          <w:szCs w:val="24"/>
        </w:rPr>
        <w:t xml:space="preserve">historical </w:t>
      </w:r>
      <w:r w:rsidR="001B03AF" w:rsidRPr="001E1DFD">
        <w:rPr>
          <w:rFonts w:ascii="Arial" w:hAnsi="Arial" w:cs="Arial"/>
          <w:sz w:val="24"/>
          <w:szCs w:val="24"/>
        </w:rPr>
        <w:t xml:space="preserve">percent canopy to estimate the </w:t>
      </w:r>
      <w:r w:rsidR="00E33073" w:rsidRPr="001E1DFD">
        <w:rPr>
          <w:rFonts w:ascii="Arial" w:hAnsi="Arial" w:cs="Arial"/>
          <w:sz w:val="24"/>
          <w:szCs w:val="24"/>
        </w:rPr>
        <w:t xml:space="preserve">historical </w:t>
      </w:r>
      <w:r w:rsidR="001B03AF" w:rsidRPr="001E1DFD">
        <w:rPr>
          <w:rFonts w:ascii="Arial" w:hAnsi="Arial" w:cs="Arial"/>
          <w:sz w:val="24"/>
          <w:szCs w:val="24"/>
        </w:rPr>
        <w:t>square feet of canopy area within the project area.</w:t>
      </w:r>
      <w:r w:rsidR="002B0875">
        <w:rPr>
          <w:rFonts w:ascii="Arial" w:hAnsi="Arial" w:cs="Arial"/>
          <w:sz w:val="24"/>
          <w:szCs w:val="24"/>
        </w:rPr>
        <w:t xml:space="preserve"> </w:t>
      </w:r>
    </w:p>
    <w:p w:rsidR="00B76EED" w:rsidRPr="007368C9" w:rsidRDefault="0017232E" w:rsidP="000F2EF3">
      <w:pPr>
        <w:pStyle w:val="ListParagraph"/>
        <w:numPr>
          <w:ilvl w:val="4"/>
          <w:numId w:val="7"/>
        </w:numPr>
        <w:ind w:left="1080" w:hanging="360"/>
        <w:rPr>
          <w:rFonts w:ascii="Arial" w:hAnsi="Arial" w:cs="Arial"/>
          <w:sz w:val="24"/>
          <w:szCs w:val="24"/>
        </w:rPr>
      </w:pPr>
      <w:r w:rsidRPr="007368C9">
        <w:rPr>
          <w:rFonts w:ascii="Arial" w:hAnsi="Arial" w:cs="Arial"/>
          <w:sz w:val="24"/>
          <w:szCs w:val="24"/>
        </w:rPr>
        <w:t xml:space="preserve">Apply the </w:t>
      </w:r>
      <w:r w:rsidR="001274A7">
        <w:rPr>
          <w:rFonts w:ascii="Arial" w:hAnsi="Arial" w:cs="Arial"/>
          <w:sz w:val="24"/>
          <w:szCs w:val="24"/>
        </w:rPr>
        <w:t>metric ton CO</w:t>
      </w:r>
      <w:r w:rsidR="001274A7" w:rsidRPr="00451798">
        <w:rPr>
          <w:rFonts w:ascii="Arial" w:hAnsi="Arial" w:cs="Arial"/>
          <w:sz w:val="24"/>
          <w:szCs w:val="24"/>
          <w:vertAlign w:val="subscript"/>
        </w:rPr>
        <w:t>2</w:t>
      </w:r>
      <w:r w:rsidR="001274A7">
        <w:rPr>
          <w:rFonts w:ascii="Arial" w:hAnsi="Arial" w:cs="Arial"/>
          <w:sz w:val="24"/>
          <w:szCs w:val="24"/>
        </w:rPr>
        <w:t>e/ square foot value</w:t>
      </w:r>
      <w:r w:rsidRPr="007368C9">
        <w:rPr>
          <w:rFonts w:ascii="Arial" w:hAnsi="Arial" w:cs="Arial"/>
          <w:sz w:val="24"/>
          <w:szCs w:val="24"/>
        </w:rPr>
        <w:t xml:space="preserve"> </w:t>
      </w:r>
      <w:r w:rsidR="00E33073" w:rsidRPr="007368C9">
        <w:rPr>
          <w:rFonts w:ascii="Arial" w:hAnsi="Arial" w:cs="Arial"/>
          <w:sz w:val="24"/>
          <w:szCs w:val="24"/>
        </w:rPr>
        <w:t xml:space="preserve">from step 2 </w:t>
      </w:r>
      <w:r w:rsidRPr="007368C9">
        <w:rPr>
          <w:rFonts w:ascii="Arial" w:hAnsi="Arial" w:cs="Arial"/>
          <w:sz w:val="24"/>
          <w:szCs w:val="24"/>
        </w:rPr>
        <w:t>to the</w:t>
      </w:r>
      <w:r w:rsidR="00922864" w:rsidRPr="007368C9">
        <w:rPr>
          <w:rFonts w:ascii="Arial" w:hAnsi="Arial" w:cs="Arial"/>
          <w:sz w:val="24"/>
          <w:szCs w:val="24"/>
        </w:rPr>
        <w:t xml:space="preserve"> hist</w:t>
      </w:r>
      <w:r w:rsidR="00E33073" w:rsidRPr="007368C9">
        <w:rPr>
          <w:rFonts w:ascii="Arial" w:hAnsi="Arial" w:cs="Arial"/>
          <w:sz w:val="24"/>
          <w:szCs w:val="24"/>
        </w:rPr>
        <w:t>oric canopy area estimate from step 3</w:t>
      </w:r>
      <w:r w:rsidRPr="007368C9">
        <w:rPr>
          <w:rFonts w:ascii="Arial" w:hAnsi="Arial" w:cs="Arial"/>
          <w:sz w:val="24"/>
          <w:szCs w:val="24"/>
        </w:rPr>
        <w:t xml:space="preserve"> to develop an </w:t>
      </w:r>
      <w:r w:rsidR="00E33073" w:rsidRPr="007368C9">
        <w:rPr>
          <w:rFonts w:ascii="Arial" w:hAnsi="Arial" w:cs="Arial"/>
          <w:sz w:val="24"/>
          <w:szCs w:val="24"/>
        </w:rPr>
        <w:t xml:space="preserve">historical </w:t>
      </w:r>
      <w:r w:rsidRPr="007368C9">
        <w:rPr>
          <w:rFonts w:ascii="Arial" w:hAnsi="Arial" w:cs="Arial"/>
          <w:sz w:val="24"/>
          <w:szCs w:val="24"/>
        </w:rPr>
        <w:t xml:space="preserve">estimate of the </w:t>
      </w:r>
      <w:r w:rsidR="00615488" w:rsidRPr="007368C9">
        <w:rPr>
          <w:rFonts w:ascii="Arial" w:hAnsi="Arial" w:cs="Arial"/>
          <w:sz w:val="24"/>
          <w:szCs w:val="24"/>
        </w:rPr>
        <w:t xml:space="preserve">metric tons </w:t>
      </w:r>
      <w:r w:rsidRPr="007368C9">
        <w:rPr>
          <w:rFonts w:ascii="Arial" w:hAnsi="Arial" w:cs="Arial"/>
          <w:sz w:val="24"/>
          <w:szCs w:val="24"/>
        </w:rPr>
        <w:t>CO</w:t>
      </w:r>
      <w:r w:rsidRPr="00451798">
        <w:rPr>
          <w:rFonts w:ascii="Arial" w:hAnsi="Arial" w:cs="Arial"/>
          <w:sz w:val="24"/>
          <w:szCs w:val="24"/>
          <w:vertAlign w:val="subscript"/>
        </w:rPr>
        <w:t>2</w:t>
      </w:r>
      <w:r w:rsidRPr="007368C9">
        <w:rPr>
          <w:rFonts w:ascii="Arial" w:hAnsi="Arial" w:cs="Arial"/>
          <w:sz w:val="24"/>
          <w:szCs w:val="24"/>
        </w:rPr>
        <w:t xml:space="preserve">e in total </w:t>
      </w:r>
      <w:r w:rsidR="001274A7">
        <w:rPr>
          <w:rFonts w:ascii="Arial" w:hAnsi="Arial" w:cs="Arial"/>
          <w:sz w:val="24"/>
          <w:szCs w:val="24"/>
        </w:rPr>
        <w:t>AGSLCS</w:t>
      </w:r>
      <w:r w:rsidR="00E33073" w:rsidRPr="007368C9">
        <w:rPr>
          <w:rFonts w:ascii="Arial" w:hAnsi="Arial" w:cs="Arial"/>
          <w:sz w:val="24"/>
          <w:szCs w:val="24"/>
        </w:rPr>
        <w:t xml:space="preserve"> for the pre-commencement year</w:t>
      </w:r>
      <w:r w:rsidRPr="007368C9">
        <w:rPr>
          <w:rFonts w:ascii="Arial" w:hAnsi="Arial" w:cs="Arial"/>
          <w:sz w:val="24"/>
          <w:szCs w:val="24"/>
        </w:rPr>
        <w:t>.</w:t>
      </w:r>
    </w:p>
    <w:p w:rsidR="00B76EED" w:rsidRPr="007368C9" w:rsidRDefault="00E33073" w:rsidP="000F2EF3">
      <w:pPr>
        <w:pStyle w:val="ListParagraph"/>
        <w:numPr>
          <w:ilvl w:val="4"/>
          <w:numId w:val="7"/>
        </w:numPr>
        <w:ind w:left="1080" w:hanging="360"/>
        <w:rPr>
          <w:rFonts w:ascii="Arial" w:hAnsi="Arial" w:cs="Arial"/>
          <w:sz w:val="24"/>
          <w:szCs w:val="24"/>
        </w:rPr>
      </w:pPr>
      <w:r w:rsidRPr="007368C9">
        <w:rPr>
          <w:rFonts w:ascii="Arial" w:hAnsi="Arial" w:cs="Arial"/>
          <w:sz w:val="24"/>
          <w:szCs w:val="24"/>
        </w:rPr>
        <w:t>Repeat steps 3 and 4 for other historical time points.</w:t>
      </w:r>
    </w:p>
    <w:p w:rsidR="0017232E" w:rsidRDefault="0017232E" w:rsidP="000F2EF3">
      <w:pPr>
        <w:pStyle w:val="ListParagraph"/>
        <w:numPr>
          <w:ilvl w:val="4"/>
          <w:numId w:val="7"/>
        </w:numPr>
        <w:ind w:left="1080" w:hanging="360"/>
        <w:rPr>
          <w:rFonts w:ascii="Arial" w:hAnsi="Arial" w:cs="Arial"/>
          <w:sz w:val="24"/>
          <w:szCs w:val="24"/>
        </w:rPr>
      </w:pPr>
      <w:r w:rsidRPr="007368C9">
        <w:rPr>
          <w:rFonts w:ascii="Arial" w:hAnsi="Arial" w:cs="Arial"/>
          <w:sz w:val="24"/>
          <w:szCs w:val="24"/>
        </w:rPr>
        <w:t xml:space="preserve">Calculate the </w:t>
      </w:r>
      <w:r w:rsidR="00E33073" w:rsidRPr="007368C9">
        <w:rPr>
          <w:rFonts w:ascii="Arial" w:hAnsi="Arial" w:cs="Arial"/>
          <w:sz w:val="24"/>
          <w:szCs w:val="24"/>
        </w:rPr>
        <w:t xml:space="preserve">HSR using the highest historical stocking estimate. </w:t>
      </w:r>
    </w:p>
    <w:p w:rsidR="00751709" w:rsidRPr="00751709" w:rsidRDefault="00751709" w:rsidP="00751709">
      <w:pPr>
        <w:pStyle w:val="ListParagraph"/>
        <w:rPr>
          <w:rFonts w:ascii="Arial" w:hAnsi="Arial" w:cs="Arial"/>
          <w:sz w:val="24"/>
          <w:szCs w:val="24"/>
        </w:rPr>
      </w:pPr>
    </w:p>
    <w:p w:rsidR="0017232E" w:rsidRPr="007368C9" w:rsidRDefault="00922864" w:rsidP="00817055">
      <w:pPr>
        <w:pStyle w:val="Heading3"/>
        <w:numPr>
          <w:ilvl w:val="2"/>
          <w:numId w:val="7"/>
        </w:numPr>
        <w:ind w:left="1440" w:hanging="720"/>
        <w:rPr>
          <w:rFonts w:ascii="Arial" w:hAnsi="Arial" w:cs="Arial"/>
          <w:sz w:val="24"/>
          <w:szCs w:val="24"/>
        </w:rPr>
      </w:pPr>
      <w:bookmarkStart w:id="16" w:name="_Toc414534275"/>
      <w:r w:rsidRPr="007368C9">
        <w:rPr>
          <w:rFonts w:ascii="Arial" w:hAnsi="Arial" w:cs="Arial"/>
          <w:sz w:val="24"/>
          <w:szCs w:val="24"/>
        </w:rPr>
        <w:lastRenderedPageBreak/>
        <w:t>Determining</w:t>
      </w:r>
      <w:r w:rsidR="0017232E" w:rsidRPr="007368C9">
        <w:rPr>
          <w:rFonts w:ascii="Arial" w:hAnsi="Arial" w:cs="Arial"/>
          <w:sz w:val="24"/>
          <w:szCs w:val="24"/>
        </w:rPr>
        <w:t xml:space="preserve"> the effect of the </w:t>
      </w:r>
      <w:r w:rsidR="00FC3072" w:rsidRPr="007368C9">
        <w:rPr>
          <w:rFonts w:ascii="Arial" w:hAnsi="Arial" w:cs="Arial"/>
          <w:sz w:val="24"/>
          <w:szCs w:val="24"/>
        </w:rPr>
        <w:t>HSR</w:t>
      </w:r>
      <w:r w:rsidR="0017232E" w:rsidRPr="007368C9">
        <w:rPr>
          <w:rFonts w:ascii="Arial" w:hAnsi="Arial" w:cs="Arial"/>
          <w:sz w:val="24"/>
          <w:szCs w:val="24"/>
        </w:rPr>
        <w:t xml:space="preserve"> on the project’s baseline</w:t>
      </w:r>
      <w:bookmarkEnd w:id="16"/>
    </w:p>
    <w:p w:rsidR="0017232E" w:rsidRPr="007368C9" w:rsidRDefault="0017232E" w:rsidP="00817055">
      <w:pPr>
        <w:keepNext/>
        <w:ind w:left="720"/>
        <w:rPr>
          <w:rFonts w:ascii="Arial" w:hAnsi="Arial" w:cs="Arial"/>
          <w:sz w:val="24"/>
          <w:szCs w:val="24"/>
        </w:rPr>
      </w:pPr>
      <w:r w:rsidRPr="007368C9">
        <w:rPr>
          <w:rFonts w:ascii="Arial" w:hAnsi="Arial" w:cs="Arial"/>
          <w:sz w:val="24"/>
          <w:szCs w:val="24"/>
        </w:rPr>
        <w:t xml:space="preserve">There are three potential scenarios that may arise from the analysis of the </w:t>
      </w:r>
      <w:r w:rsidR="00FC3072" w:rsidRPr="007368C9">
        <w:rPr>
          <w:rFonts w:ascii="Arial" w:hAnsi="Arial" w:cs="Arial"/>
          <w:sz w:val="24"/>
          <w:szCs w:val="24"/>
        </w:rPr>
        <w:t>HSR</w:t>
      </w:r>
      <w:r w:rsidRPr="007368C9">
        <w:rPr>
          <w:rFonts w:ascii="Arial" w:hAnsi="Arial" w:cs="Arial"/>
          <w:sz w:val="24"/>
          <w:szCs w:val="24"/>
        </w:rPr>
        <w:t xml:space="preserve">.  </w:t>
      </w:r>
    </w:p>
    <w:p w:rsidR="0017232E" w:rsidRPr="007368C9" w:rsidRDefault="0017232E" w:rsidP="000F2EF3">
      <w:pPr>
        <w:keepNext/>
        <w:ind w:left="720"/>
        <w:rPr>
          <w:rFonts w:ascii="Arial" w:hAnsi="Arial" w:cs="Arial"/>
          <w:b/>
          <w:sz w:val="24"/>
          <w:szCs w:val="24"/>
        </w:rPr>
      </w:pPr>
      <w:r w:rsidRPr="007368C9">
        <w:rPr>
          <w:rFonts w:ascii="Arial" w:hAnsi="Arial" w:cs="Arial"/>
          <w:b/>
          <w:sz w:val="24"/>
          <w:szCs w:val="24"/>
        </w:rPr>
        <w:t>Scenario 1</w:t>
      </w:r>
      <w:r w:rsidR="00905963" w:rsidRPr="007368C9">
        <w:rPr>
          <w:rFonts w:ascii="Arial" w:hAnsi="Arial" w:cs="Arial"/>
          <w:b/>
          <w:sz w:val="24"/>
          <w:szCs w:val="24"/>
        </w:rPr>
        <w:t xml:space="preserve"> </w:t>
      </w:r>
    </w:p>
    <w:p w:rsidR="0017232E" w:rsidRPr="007368C9" w:rsidRDefault="0017232E" w:rsidP="000F2EF3">
      <w:pPr>
        <w:ind w:left="720"/>
        <w:rPr>
          <w:rFonts w:ascii="Arial" w:hAnsi="Arial" w:cs="Arial"/>
          <w:sz w:val="24"/>
          <w:szCs w:val="24"/>
        </w:rPr>
      </w:pPr>
      <w:r w:rsidRPr="007368C9">
        <w:rPr>
          <w:rFonts w:ascii="Arial" w:hAnsi="Arial" w:cs="Arial"/>
          <w:sz w:val="24"/>
          <w:szCs w:val="24"/>
        </w:rPr>
        <w:t xml:space="preserve">The </w:t>
      </w:r>
      <w:r w:rsidR="00DF0AA0" w:rsidRPr="007368C9">
        <w:rPr>
          <w:rFonts w:ascii="Arial" w:hAnsi="Arial" w:cs="Arial"/>
          <w:sz w:val="24"/>
          <w:szCs w:val="24"/>
        </w:rPr>
        <w:t>HSR</w:t>
      </w:r>
      <w:r w:rsidRPr="007368C9">
        <w:rPr>
          <w:rFonts w:ascii="Arial" w:hAnsi="Arial" w:cs="Arial"/>
          <w:sz w:val="24"/>
          <w:szCs w:val="24"/>
        </w:rPr>
        <w:t xml:space="preserve"> is equal to, or less than, the estimate of</w:t>
      </w:r>
      <w:r w:rsidR="005A1DF5">
        <w:rPr>
          <w:rFonts w:ascii="Arial" w:hAnsi="Arial" w:cs="Arial"/>
          <w:sz w:val="24"/>
          <w:szCs w:val="24"/>
        </w:rPr>
        <w:t xml:space="preserve"> the project’s</w:t>
      </w:r>
      <w:r w:rsidRPr="007368C9">
        <w:rPr>
          <w:rFonts w:ascii="Arial" w:hAnsi="Arial" w:cs="Arial"/>
          <w:sz w:val="24"/>
          <w:szCs w:val="24"/>
        </w:rPr>
        <w:t xml:space="preserve"> </w:t>
      </w:r>
      <w:r w:rsidR="001274A7">
        <w:rPr>
          <w:rFonts w:ascii="Arial" w:hAnsi="Arial" w:cs="Arial"/>
          <w:sz w:val="24"/>
          <w:szCs w:val="24"/>
        </w:rPr>
        <w:t>AGSLCS</w:t>
      </w:r>
      <w:r w:rsidRPr="007368C9">
        <w:rPr>
          <w:rFonts w:ascii="Arial" w:hAnsi="Arial" w:cs="Arial"/>
          <w:sz w:val="24"/>
          <w:szCs w:val="24"/>
        </w:rPr>
        <w:t xml:space="preserve"> at th</w:t>
      </w:r>
      <w:r w:rsidR="00DF0AA0" w:rsidRPr="007368C9">
        <w:rPr>
          <w:rFonts w:ascii="Arial" w:hAnsi="Arial" w:cs="Arial"/>
          <w:sz w:val="24"/>
          <w:szCs w:val="24"/>
        </w:rPr>
        <w:t xml:space="preserve">e project’s </w:t>
      </w:r>
      <w:r w:rsidR="00DF0AA0" w:rsidRPr="001C4D40">
        <w:rPr>
          <w:rFonts w:ascii="Arial" w:hAnsi="Arial" w:cs="Arial"/>
          <w:sz w:val="24"/>
          <w:szCs w:val="24"/>
          <w:u w:val="single"/>
        </w:rPr>
        <w:t>commencement date</w:t>
      </w:r>
      <w:r w:rsidR="00DF0AA0" w:rsidRPr="007368C9">
        <w:rPr>
          <w:rFonts w:ascii="Arial" w:hAnsi="Arial" w:cs="Arial"/>
          <w:sz w:val="24"/>
          <w:szCs w:val="24"/>
        </w:rPr>
        <w:t xml:space="preserve"> </w:t>
      </w:r>
      <w:r w:rsidR="001274A7">
        <w:rPr>
          <w:rFonts w:ascii="Arial" w:hAnsi="Arial" w:cs="Arial"/>
          <w:sz w:val="24"/>
          <w:szCs w:val="24"/>
        </w:rPr>
        <w:t>(figure 2</w:t>
      </w:r>
      <w:r w:rsidRPr="007368C9">
        <w:rPr>
          <w:rFonts w:ascii="Arial" w:hAnsi="Arial" w:cs="Arial"/>
          <w:sz w:val="24"/>
          <w:szCs w:val="24"/>
        </w:rPr>
        <w:t xml:space="preserve">). </w:t>
      </w:r>
      <w:r w:rsidR="00D95914" w:rsidRPr="007368C9">
        <w:rPr>
          <w:rFonts w:ascii="Arial" w:hAnsi="Arial" w:cs="Arial"/>
          <w:sz w:val="24"/>
          <w:szCs w:val="24"/>
        </w:rPr>
        <w:t xml:space="preserve"> In this case, t</w:t>
      </w:r>
      <w:r w:rsidRPr="007368C9">
        <w:rPr>
          <w:rFonts w:ascii="Arial" w:hAnsi="Arial" w:cs="Arial"/>
          <w:sz w:val="24"/>
          <w:szCs w:val="24"/>
        </w:rPr>
        <w:t xml:space="preserve">he </w:t>
      </w:r>
      <w:r w:rsidR="00DF0AA0" w:rsidRPr="007368C9">
        <w:rPr>
          <w:rFonts w:ascii="Arial" w:hAnsi="Arial" w:cs="Arial"/>
          <w:sz w:val="24"/>
          <w:szCs w:val="24"/>
        </w:rPr>
        <w:t>HSR</w:t>
      </w:r>
      <w:r w:rsidRPr="007368C9">
        <w:rPr>
          <w:rFonts w:ascii="Arial" w:hAnsi="Arial" w:cs="Arial"/>
          <w:sz w:val="24"/>
          <w:szCs w:val="24"/>
        </w:rPr>
        <w:t xml:space="preserve"> will not affect the updated baseline calculated as part of the transition to the </w:t>
      </w:r>
      <w:r w:rsidR="00935D98" w:rsidRPr="007368C9">
        <w:rPr>
          <w:rFonts w:ascii="Arial" w:hAnsi="Arial" w:cs="Arial"/>
          <w:sz w:val="24"/>
          <w:szCs w:val="24"/>
        </w:rPr>
        <w:t>COP</w:t>
      </w:r>
      <w:r w:rsidR="005A1DF5">
        <w:rPr>
          <w:rFonts w:ascii="Arial" w:hAnsi="Arial" w:cs="Arial"/>
          <w:sz w:val="24"/>
          <w:szCs w:val="24"/>
        </w:rPr>
        <w:t xml:space="preserve">. </w:t>
      </w:r>
      <w:r w:rsidR="003C1EA5">
        <w:rPr>
          <w:rFonts w:ascii="Arial" w:hAnsi="Arial" w:cs="Arial"/>
          <w:sz w:val="24"/>
          <w:szCs w:val="24"/>
        </w:rPr>
        <w:t xml:space="preserve"> </w:t>
      </w:r>
      <w:r w:rsidR="005A1DF5">
        <w:rPr>
          <w:rFonts w:ascii="Arial" w:hAnsi="Arial" w:cs="Arial"/>
          <w:sz w:val="24"/>
          <w:szCs w:val="24"/>
        </w:rPr>
        <w:t>The</w:t>
      </w:r>
      <w:r w:rsidR="004E452D" w:rsidRPr="007368C9">
        <w:rPr>
          <w:rFonts w:ascii="Arial" w:hAnsi="Arial" w:cs="Arial"/>
          <w:sz w:val="24"/>
          <w:szCs w:val="24"/>
        </w:rPr>
        <w:t xml:space="preserve"> </w:t>
      </w:r>
      <w:r w:rsidRPr="007368C9">
        <w:rPr>
          <w:rFonts w:ascii="Arial" w:hAnsi="Arial" w:cs="Arial"/>
          <w:sz w:val="24"/>
          <w:szCs w:val="24"/>
        </w:rPr>
        <w:t>OPO</w:t>
      </w:r>
      <w:r w:rsidR="00E33073" w:rsidRPr="007368C9">
        <w:rPr>
          <w:rFonts w:ascii="Arial" w:hAnsi="Arial" w:cs="Arial"/>
          <w:sz w:val="24"/>
          <w:szCs w:val="24"/>
        </w:rPr>
        <w:t>/APD</w:t>
      </w:r>
      <w:r w:rsidRPr="007368C9">
        <w:rPr>
          <w:rFonts w:ascii="Arial" w:hAnsi="Arial" w:cs="Arial"/>
          <w:sz w:val="24"/>
          <w:szCs w:val="24"/>
        </w:rPr>
        <w:t xml:space="preserve"> will need to provide documentation outlining the analysis as part of the transitioning process.  </w:t>
      </w:r>
    </w:p>
    <w:p w:rsidR="00F53268" w:rsidRPr="007368C9" w:rsidRDefault="007D734D" w:rsidP="00B76EED">
      <w:pPr>
        <w:jc w:val="center"/>
        <w:rPr>
          <w:rFonts w:ascii="Arial" w:hAnsi="Arial" w:cs="Arial"/>
          <w:sz w:val="24"/>
          <w:szCs w:val="24"/>
        </w:rPr>
      </w:pPr>
      <w:r>
        <w:rPr>
          <w:rFonts w:ascii="Arial" w:hAnsi="Arial" w:cs="Arial"/>
          <w:noProof/>
          <w:sz w:val="24"/>
          <w:szCs w:val="24"/>
        </w:rPr>
        <w:drawing>
          <wp:inline distT="0" distB="0" distL="0" distR="0" wp14:anchorId="2602E36E" wp14:editId="57DBB4F9">
            <wp:extent cx="4889404" cy="2448560"/>
            <wp:effectExtent l="19050" t="19050" r="26035"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4058" cy="2455898"/>
                    </a:xfrm>
                    <a:prstGeom prst="rect">
                      <a:avLst/>
                    </a:prstGeom>
                    <a:noFill/>
                    <a:ln>
                      <a:solidFill>
                        <a:schemeClr val="accent1"/>
                      </a:solidFill>
                    </a:ln>
                  </pic:spPr>
                </pic:pic>
              </a:graphicData>
            </a:graphic>
          </wp:inline>
        </w:drawing>
      </w:r>
    </w:p>
    <w:p w:rsidR="00F53268" w:rsidRPr="007368C9" w:rsidRDefault="002B0875" w:rsidP="001274A7">
      <w:pPr>
        <w:ind w:left="288"/>
        <w:rPr>
          <w:rFonts w:ascii="Arial" w:hAnsi="Arial" w:cs="Arial"/>
          <w:sz w:val="24"/>
          <w:szCs w:val="24"/>
        </w:rPr>
      </w:pPr>
      <w:r>
        <w:rPr>
          <w:rFonts w:ascii="Arial" w:hAnsi="Arial" w:cs="Arial"/>
          <w:b/>
          <w:sz w:val="24"/>
          <w:szCs w:val="24"/>
        </w:rPr>
        <w:tab/>
      </w:r>
      <w:r w:rsidR="00531699" w:rsidRPr="007368C9">
        <w:rPr>
          <w:rFonts w:ascii="Arial" w:hAnsi="Arial" w:cs="Arial"/>
          <w:b/>
          <w:sz w:val="24"/>
          <w:szCs w:val="24"/>
        </w:rPr>
        <w:t>Figure 2</w:t>
      </w:r>
      <w:r w:rsidR="00531699" w:rsidRPr="007368C9">
        <w:rPr>
          <w:rFonts w:ascii="Arial" w:hAnsi="Arial" w:cs="Arial"/>
          <w:sz w:val="24"/>
          <w:szCs w:val="24"/>
        </w:rPr>
        <w:t xml:space="preserve">: </w:t>
      </w:r>
      <w:r w:rsidR="001274A7" w:rsidRPr="007368C9">
        <w:rPr>
          <w:rFonts w:ascii="Arial" w:hAnsi="Arial" w:cs="Arial"/>
          <w:sz w:val="24"/>
          <w:szCs w:val="24"/>
        </w:rPr>
        <w:t xml:space="preserve">HSR does not affect baseline at transition </w:t>
      </w:r>
      <w:r w:rsidR="001274A7">
        <w:rPr>
          <w:rFonts w:ascii="Arial" w:hAnsi="Arial" w:cs="Arial"/>
          <w:sz w:val="24"/>
          <w:szCs w:val="24"/>
        </w:rPr>
        <w:t>i</w:t>
      </w:r>
      <w:r w:rsidR="00531699" w:rsidRPr="007368C9">
        <w:rPr>
          <w:rFonts w:ascii="Arial" w:hAnsi="Arial" w:cs="Arial"/>
          <w:sz w:val="24"/>
          <w:szCs w:val="24"/>
        </w:rPr>
        <w:t xml:space="preserve">f ICS &lt; CP and HSR ≤ </w:t>
      </w:r>
      <w:r>
        <w:rPr>
          <w:rFonts w:ascii="Arial" w:hAnsi="Arial" w:cs="Arial"/>
          <w:sz w:val="24"/>
          <w:szCs w:val="24"/>
        </w:rPr>
        <w:tab/>
      </w:r>
      <w:r w:rsidR="001274A7">
        <w:rPr>
          <w:rFonts w:ascii="Arial" w:hAnsi="Arial" w:cs="Arial"/>
          <w:sz w:val="24"/>
          <w:szCs w:val="24"/>
        </w:rPr>
        <w:t>AGSLCS</w:t>
      </w:r>
      <w:r w:rsidR="00531699" w:rsidRPr="007368C9">
        <w:rPr>
          <w:rFonts w:ascii="Arial" w:hAnsi="Arial" w:cs="Arial"/>
          <w:sz w:val="24"/>
          <w:szCs w:val="24"/>
        </w:rPr>
        <w:t xml:space="preserve"> at</w:t>
      </w:r>
      <w:r w:rsidR="001274A7">
        <w:rPr>
          <w:rFonts w:ascii="Arial" w:hAnsi="Arial" w:cs="Arial"/>
          <w:sz w:val="24"/>
          <w:szCs w:val="24"/>
        </w:rPr>
        <w:t xml:space="preserve"> project commencement date.</w:t>
      </w:r>
      <w:r w:rsidR="00531699" w:rsidRPr="007368C9">
        <w:rPr>
          <w:rFonts w:ascii="Arial" w:hAnsi="Arial" w:cs="Arial"/>
          <w:sz w:val="24"/>
          <w:szCs w:val="24"/>
        </w:rPr>
        <w:t xml:space="preserve"> </w:t>
      </w:r>
    </w:p>
    <w:p w:rsidR="000B7C49" w:rsidRDefault="000B7C49" w:rsidP="000F2EF3">
      <w:pPr>
        <w:ind w:left="720"/>
        <w:rPr>
          <w:rFonts w:ascii="Arial" w:hAnsi="Arial" w:cs="Arial"/>
          <w:b/>
          <w:sz w:val="24"/>
          <w:szCs w:val="24"/>
        </w:rPr>
      </w:pPr>
    </w:p>
    <w:p w:rsidR="0017232E" w:rsidRPr="007368C9" w:rsidRDefault="0017232E" w:rsidP="000F2EF3">
      <w:pPr>
        <w:ind w:left="720"/>
        <w:rPr>
          <w:rFonts w:ascii="Arial" w:hAnsi="Arial" w:cs="Arial"/>
          <w:b/>
          <w:sz w:val="24"/>
          <w:szCs w:val="24"/>
        </w:rPr>
      </w:pPr>
      <w:r w:rsidRPr="007368C9">
        <w:rPr>
          <w:rFonts w:ascii="Arial" w:hAnsi="Arial" w:cs="Arial"/>
          <w:b/>
          <w:sz w:val="24"/>
          <w:szCs w:val="24"/>
        </w:rPr>
        <w:t>Scenario 2</w:t>
      </w:r>
    </w:p>
    <w:p w:rsidR="001E1DFD" w:rsidRDefault="0017232E" w:rsidP="001E1DFD">
      <w:pPr>
        <w:ind w:left="720"/>
        <w:rPr>
          <w:rFonts w:ascii="Arial" w:hAnsi="Arial" w:cs="Arial"/>
          <w:sz w:val="24"/>
          <w:szCs w:val="24"/>
        </w:rPr>
      </w:pPr>
      <w:r w:rsidRPr="007368C9">
        <w:rPr>
          <w:rFonts w:ascii="Arial" w:hAnsi="Arial" w:cs="Arial"/>
          <w:sz w:val="24"/>
          <w:szCs w:val="24"/>
        </w:rPr>
        <w:t xml:space="preserve">The </w:t>
      </w:r>
      <w:r w:rsidR="00DF0AA0" w:rsidRPr="007368C9">
        <w:rPr>
          <w:rFonts w:ascii="Arial" w:hAnsi="Arial" w:cs="Arial"/>
          <w:sz w:val="24"/>
          <w:szCs w:val="24"/>
        </w:rPr>
        <w:t>HSR</w:t>
      </w:r>
      <w:r w:rsidRPr="007368C9">
        <w:rPr>
          <w:rFonts w:ascii="Arial" w:hAnsi="Arial" w:cs="Arial"/>
          <w:sz w:val="24"/>
          <w:szCs w:val="24"/>
        </w:rPr>
        <w:t xml:space="preserve"> </w:t>
      </w:r>
      <w:r w:rsidR="008F382F" w:rsidRPr="00817055">
        <w:rPr>
          <w:rFonts w:ascii="Arial" w:hAnsi="Arial" w:cs="Arial"/>
          <w:sz w:val="24"/>
          <w:szCs w:val="24"/>
        </w:rPr>
        <w:t>is equal to</w:t>
      </w:r>
      <w:r w:rsidR="00203F19">
        <w:rPr>
          <w:rFonts w:ascii="Arial" w:hAnsi="Arial" w:cs="Arial"/>
          <w:sz w:val="24"/>
          <w:szCs w:val="24"/>
        </w:rPr>
        <w:t>,</w:t>
      </w:r>
      <w:r w:rsidR="008F382F" w:rsidRPr="00817055">
        <w:rPr>
          <w:rFonts w:ascii="Arial" w:hAnsi="Arial" w:cs="Arial"/>
          <w:sz w:val="24"/>
          <w:szCs w:val="24"/>
        </w:rPr>
        <w:t xml:space="preserve"> or</w:t>
      </w:r>
      <w:r w:rsidR="00D807AD">
        <w:rPr>
          <w:rFonts w:ascii="Arial" w:hAnsi="Arial" w:cs="Arial"/>
          <w:sz w:val="24"/>
          <w:szCs w:val="24"/>
        </w:rPr>
        <w:t xml:space="preserve"> less than,</w:t>
      </w:r>
      <w:r w:rsidRPr="007368C9">
        <w:rPr>
          <w:rFonts w:ascii="Arial" w:hAnsi="Arial" w:cs="Arial"/>
          <w:sz w:val="24"/>
          <w:szCs w:val="24"/>
        </w:rPr>
        <w:t xml:space="preserve"> the </w:t>
      </w:r>
      <w:r w:rsidR="00D807AD">
        <w:rPr>
          <w:rFonts w:ascii="Arial" w:hAnsi="Arial" w:cs="Arial"/>
          <w:sz w:val="24"/>
          <w:szCs w:val="24"/>
        </w:rPr>
        <w:t xml:space="preserve">estimate of the </w:t>
      </w:r>
      <w:r w:rsidRPr="007368C9">
        <w:rPr>
          <w:rFonts w:ascii="Arial" w:hAnsi="Arial" w:cs="Arial"/>
          <w:sz w:val="24"/>
          <w:szCs w:val="24"/>
        </w:rPr>
        <w:t xml:space="preserve">project’s </w:t>
      </w:r>
      <w:r w:rsidR="001274A7">
        <w:rPr>
          <w:rFonts w:ascii="Arial" w:hAnsi="Arial" w:cs="Arial"/>
          <w:sz w:val="24"/>
          <w:szCs w:val="24"/>
        </w:rPr>
        <w:t>AGSLCS</w:t>
      </w:r>
      <w:r w:rsidRPr="007368C9">
        <w:rPr>
          <w:rFonts w:ascii="Arial" w:hAnsi="Arial" w:cs="Arial"/>
          <w:sz w:val="24"/>
          <w:szCs w:val="24"/>
        </w:rPr>
        <w:t xml:space="preserve"> as of</w:t>
      </w:r>
      <w:r w:rsidR="001274A7">
        <w:rPr>
          <w:rFonts w:ascii="Arial" w:hAnsi="Arial" w:cs="Arial"/>
          <w:sz w:val="24"/>
          <w:szCs w:val="24"/>
        </w:rPr>
        <w:t xml:space="preserve"> the project’s </w:t>
      </w:r>
      <w:r w:rsidR="001274A7" w:rsidRPr="001C4D40">
        <w:rPr>
          <w:rFonts w:ascii="Arial" w:hAnsi="Arial" w:cs="Arial"/>
          <w:sz w:val="24"/>
          <w:szCs w:val="24"/>
          <w:u w:val="single"/>
        </w:rPr>
        <w:t>transition date</w:t>
      </w:r>
      <w:r w:rsidR="001274A7">
        <w:rPr>
          <w:rFonts w:ascii="Arial" w:hAnsi="Arial" w:cs="Arial"/>
          <w:sz w:val="24"/>
          <w:szCs w:val="24"/>
        </w:rPr>
        <w:t xml:space="preserve"> </w:t>
      </w:r>
      <w:r w:rsidRPr="007368C9">
        <w:rPr>
          <w:rFonts w:ascii="Arial" w:hAnsi="Arial" w:cs="Arial"/>
          <w:sz w:val="24"/>
          <w:szCs w:val="24"/>
        </w:rPr>
        <w:t>(</w:t>
      </w:r>
      <w:r w:rsidRPr="007368C9">
        <w:rPr>
          <w:rFonts w:ascii="Arial" w:hAnsi="Arial" w:cs="Arial"/>
          <w:sz w:val="24"/>
          <w:szCs w:val="24"/>
        </w:rPr>
        <w:fldChar w:fldCharType="begin"/>
      </w:r>
      <w:r w:rsidRPr="007368C9">
        <w:rPr>
          <w:rFonts w:ascii="Arial" w:hAnsi="Arial" w:cs="Arial"/>
          <w:sz w:val="24"/>
          <w:szCs w:val="24"/>
        </w:rPr>
        <w:instrText xml:space="preserve"> REF _Ref404271509 \h  \* MERGEFORMAT </w:instrText>
      </w:r>
      <w:r w:rsidRPr="007368C9">
        <w:rPr>
          <w:rFonts w:ascii="Arial" w:hAnsi="Arial" w:cs="Arial"/>
          <w:sz w:val="24"/>
          <w:szCs w:val="24"/>
        </w:rPr>
      </w:r>
      <w:r w:rsidRPr="007368C9">
        <w:rPr>
          <w:rFonts w:ascii="Arial" w:hAnsi="Arial" w:cs="Arial"/>
          <w:sz w:val="24"/>
          <w:szCs w:val="24"/>
        </w:rPr>
        <w:fldChar w:fldCharType="separate"/>
      </w:r>
      <w:r w:rsidR="00817055" w:rsidRPr="00817055">
        <w:rPr>
          <w:rFonts w:ascii="Arial" w:hAnsi="Arial" w:cs="Arial"/>
          <w:sz w:val="24"/>
          <w:szCs w:val="24"/>
        </w:rPr>
        <w:t>Figure</w:t>
      </w:r>
      <w:r w:rsidRPr="007368C9">
        <w:rPr>
          <w:rFonts w:ascii="Arial" w:hAnsi="Arial" w:cs="Arial"/>
          <w:sz w:val="24"/>
          <w:szCs w:val="24"/>
        </w:rPr>
        <w:fldChar w:fldCharType="end"/>
      </w:r>
      <w:r w:rsidRPr="007368C9">
        <w:rPr>
          <w:rFonts w:ascii="Arial" w:hAnsi="Arial" w:cs="Arial"/>
          <w:sz w:val="24"/>
          <w:szCs w:val="24"/>
        </w:rPr>
        <w:t xml:space="preserve"> 3). </w:t>
      </w:r>
      <w:r w:rsidR="001274A7">
        <w:rPr>
          <w:rFonts w:ascii="Arial" w:hAnsi="Arial" w:cs="Arial"/>
          <w:sz w:val="24"/>
          <w:szCs w:val="24"/>
        </w:rPr>
        <w:t xml:space="preserve"> </w:t>
      </w:r>
      <w:r w:rsidR="00D95914" w:rsidRPr="007368C9">
        <w:rPr>
          <w:rFonts w:ascii="Arial" w:hAnsi="Arial" w:cs="Arial"/>
          <w:sz w:val="24"/>
          <w:szCs w:val="24"/>
        </w:rPr>
        <w:t>In this case, t</w:t>
      </w:r>
      <w:r w:rsidRPr="007368C9">
        <w:rPr>
          <w:rFonts w:ascii="Arial" w:hAnsi="Arial" w:cs="Arial"/>
          <w:sz w:val="24"/>
          <w:szCs w:val="24"/>
        </w:rPr>
        <w:t xml:space="preserve">he </w:t>
      </w:r>
      <w:r w:rsidR="00DF0AA0" w:rsidRPr="007368C9">
        <w:rPr>
          <w:rFonts w:ascii="Arial" w:hAnsi="Arial" w:cs="Arial"/>
          <w:sz w:val="24"/>
          <w:szCs w:val="24"/>
        </w:rPr>
        <w:t>HSR</w:t>
      </w:r>
      <w:r w:rsidRPr="007368C9">
        <w:rPr>
          <w:rFonts w:ascii="Arial" w:hAnsi="Arial" w:cs="Arial"/>
          <w:sz w:val="24"/>
          <w:szCs w:val="24"/>
        </w:rPr>
        <w:t xml:space="preserve"> will not affect the updated baseline calculated as part of the transition to the </w:t>
      </w:r>
      <w:r w:rsidR="00935D98" w:rsidRPr="007368C9">
        <w:rPr>
          <w:rFonts w:ascii="Arial" w:hAnsi="Arial" w:cs="Arial"/>
          <w:sz w:val="24"/>
          <w:szCs w:val="24"/>
        </w:rPr>
        <w:t>COP</w:t>
      </w:r>
      <w:r w:rsidRPr="007368C9">
        <w:rPr>
          <w:rFonts w:ascii="Arial" w:hAnsi="Arial" w:cs="Arial"/>
          <w:sz w:val="24"/>
          <w:szCs w:val="24"/>
        </w:rPr>
        <w:t>.  The OPO</w:t>
      </w:r>
      <w:r w:rsidR="00935D98" w:rsidRPr="007368C9">
        <w:rPr>
          <w:rFonts w:ascii="Arial" w:hAnsi="Arial" w:cs="Arial"/>
          <w:sz w:val="24"/>
          <w:szCs w:val="24"/>
        </w:rPr>
        <w:t>/APD</w:t>
      </w:r>
      <w:r w:rsidRPr="007368C9">
        <w:rPr>
          <w:rFonts w:ascii="Arial" w:hAnsi="Arial" w:cs="Arial"/>
          <w:sz w:val="24"/>
          <w:szCs w:val="24"/>
        </w:rPr>
        <w:t xml:space="preserve"> will need to provide documentation outlining </w:t>
      </w:r>
      <w:r w:rsidR="00935D98" w:rsidRPr="007368C9">
        <w:rPr>
          <w:rFonts w:ascii="Arial" w:hAnsi="Arial" w:cs="Arial"/>
          <w:sz w:val="24"/>
          <w:szCs w:val="24"/>
        </w:rPr>
        <w:t>the analysis as part of the transitioning process</w:t>
      </w:r>
      <w:r w:rsidRPr="007368C9">
        <w:rPr>
          <w:rFonts w:ascii="Arial" w:hAnsi="Arial" w:cs="Arial"/>
          <w:sz w:val="24"/>
          <w:szCs w:val="24"/>
        </w:rPr>
        <w:t xml:space="preserve">.  </w:t>
      </w:r>
    </w:p>
    <w:p w:rsidR="00B5767A" w:rsidRPr="007368C9" w:rsidRDefault="001E1DFD" w:rsidP="001E1DFD">
      <w:pPr>
        <w:ind w:left="720"/>
        <w:rPr>
          <w:rFonts w:ascii="Arial" w:hAnsi="Arial" w:cs="Arial"/>
          <w:sz w:val="24"/>
          <w:szCs w:val="24"/>
        </w:rPr>
      </w:pPr>
      <w:r>
        <w:rPr>
          <w:rFonts w:ascii="Arial" w:hAnsi="Arial" w:cs="Arial"/>
          <w:noProof/>
          <w:sz w:val="24"/>
          <w:szCs w:val="24"/>
        </w:rPr>
        <w:lastRenderedPageBreak/>
        <w:drawing>
          <wp:inline distT="0" distB="0" distL="0" distR="0" wp14:anchorId="22BA8F46" wp14:editId="6A172999">
            <wp:extent cx="4467225" cy="273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969" cy="2730965"/>
                    </a:xfrm>
                    <a:prstGeom prst="rect">
                      <a:avLst/>
                    </a:prstGeom>
                    <a:noFill/>
                  </pic:spPr>
                </pic:pic>
              </a:graphicData>
            </a:graphic>
          </wp:inline>
        </w:drawing>
      </w:r>
    </w:p>
    <w:p w:rsidR="00073151" w:rsidRPr="007368C9" w:rsidRDefault="002B0875" w:rsidP="001274A7">
      <w:pPr>
        <w:ind w:left="288"/>
        <w:rPr>
          <w:rFonts w:ascii="Arial" w:hAnsi="Arial" w:cs="Arial"/>
          <w:sz w:val="24"/>
          <w:szCs w:val="24"/>
        </w:rPr>
      </w:pPr>
      <w:bookmarkStart w:id="17" w:name="_Ref404271509"/>
      <w:r>
        <w:rPr>
          <w:rFonts w:ascii="Arial" w:hAnsi="Arial" w:cs="Arial"/>
          <w:b/>
          <w:sz w:val="24"/>
          <w:szCs w:val="24"/>
        </w:rPr>
        <w:tab/>
      </w:r>
      <w:r w:rsidR="00073151" w:rsidRPr="007368C9">
        <w:rPr>
          <w:rFonts w:ascii="Arial" w:hAnsi="Arial" w:cs="Arial"/>
          <w:b/>
          <w:sz w:val="24"/>
          <w:szCs w:val="24"/>
        </w:rPr>
        <w:t>Figure</w:t>
      </w:r>
      <w:bookmarkEnd w:id="17"/>
      <w:r w:rsidR="00073151" w:rsidRPr="007368C9">
        <w:rPr>
          <w:rFonts w:ascii="Arial" w:hAnsi="Arial" w:cs="Arial"/>
          <w:b/>
          <w:sz w:val="24"/>
          <w:szCs w:val="24"/>
        </w:rPr>
        <w:t xml:space="preserve"> 3</w:t>
      </w:r>
      <w:r w:rsidR="00073151" w:rsidRPr="007368C9">
        <w:rPr>
          <w:rFonts w:ascii="Arial" w:hAnsi="Arial" w:cs="Arial"/>
          <w:sz w:val="24"/>
          <w:szCs w:val="24"/>
        </w:rPr>
        <w:t xml:space="preserve">. </w:t>
      </w:r>
      <w:r w:rsidR="00012778" w:rsidRPr="007368C9">
        <w:rPr>
          <w:rFonts w:ascii="Arial" w:hAnsi="Arial" w:cs="Arial"/>
          <w:sz w:val="24"/>
          <w:szCs w:val="24"/>
        </w:rPr>
        <w:t xml:space="preserve">HSR does not affect baseline at transition </w:t>
      </w:r>
      <w:r w:rsidR="00012778">
        <w:rPr>
          <w:rFonts w:ascii="Arial" w:hAnsi="Arial" w:cs="Arial"/>
          <w:sz w:val="24"/>
          <w:szCs w:val="24"/>
        </w:rPr>
        <w:t>if ICS &lt; CP and HSR ≤</w:t>
      </w:r>
      <w:r w:rsidR="00073151" w:rsidRPr="007368C9">
        <w:rPr>
          <w:rFonts w:ascii="Arial" w:hAnsi="Arial" w:cs="Arial"/>
          <w:sz w:val="24"/>
          <w:szCs w:val="24"/>
        </w:rPr>
        <w:t xml:space="preserve"> </w:t>
      </w:r>
      <w:r>
        <w:rPr>
          <w:rFonts w:ascii="Arial" w:hAnsi="Arial" w:cs="Arial"/>
          <w:sz w:val="24"/>
          <w:szCs w:val="24"/>
        </w:rPr>
        <w:tab/>
      </w:r>
      <w:r w:rsidR="00012778">
        <w:rPr>
          <w:rFonts w:ascii="Arial" w:hAnsi="Arial" w:cs="Arial"/>
          <w:sz w:val="24"/>
          <w:szCs w:val="24"/>
        </w:rPr>
        <w:t>AGSLCS at transition date.</w:t>
      </w:r>
      <w:r w:rsidR="00073151" w:rsidRPr="007368C9">
        <w:rPr>
          <w:rFonts w:ascii="Arial" w:hAnsi="Arial" w:cs="Arial"/>
          <w:sz w:val="24"/>
          <w:szCs w:val="24"/>
        </w:rPr>
        <w:t xml:space="preserve"> </w:t>
      </w:r>
    </w:p>
    <w:p w:rsidR="000B7C49" w:rsidRDefault="000B7C49" w:rsidP="000F2EF3">
      <w:pPr>
        <w:ind w:left="720"/>
        <w:rPr>
          <w:rFonts w:ascii="Arial" w:hAnsi="Arial" w:cs="Arial"/>
          <w:b/>
          <w:sz w:val="24"/>
          <w:szCs w:val="24"/>
        </w:rPr>
      </w:pPr>
    </w:p>
    <w:p w:rsidR="0017232E" w:rsidRPr="007368C9" w:rsidRDefault="0017232E" w:rsidP="000F2EF3">
      <w:pPr>
        <w:ind w:left="720"/>
        <w:rPr>
          <w:rFonts w:ascii="Arial" w:hAnsi="Arial" w:cs="Arial"/>
          <w:b/>
          <w:sz w:val="24"/>
          <w:szCs w:val="24"/>
        </w:rPr>
      </w:pPr>
      <w:r w:rsidRPr="007368C9">
        <w:rPr>
          <w:rFonts w:ascii="Arial" w:hAnsi="Arial" w:cs="Arial"/>
          <w:b/>
          <w:sz w:val="24"/>
          <w:szCs w:val="24"/>
        </w:rPr>
        <w:t>Scenario 3</w:t>
      </w:r>
    </w:p>
    <w:p w:rsidR="00073151" w:rsidRPr="007368C9" w:rsidRDefault="00135434" w:rsidP="000F2EF3">
      <w:pPr>
        <w:ind w:left="720"/>
        <w:rPr>
          <w:rFonts w:ascii="Arial" w:hAnsi="Arial" w:cs="Arial"/>
          <w:sz w:val="24"/>
          <w:szCs w:val="24"/>
        </w:rPr>
      </w:pPr>
      <w:r w:rsidRPr="007368C9">
        <w:rPr>
          <w:rFonts w:ascii="Arial" w:hAnsi="Arial" w:cs="Arial"/>
          <w:sz w:val="24"/>
          <w:szCs w:val="24"/>
        </w:rPr>
        <w:t>If t</w:t>
      </w:r>
      <w:r w:rsidR="0017232E" w:rsidRPr="007368C9">
        <w:rPr>
          <w:rFonts w:ascii="Arial" w:hAnsi="Arial" w:cs="Arial"/>
          <w:sz w:val="24"/>
          <w:szCs w:val="24"/>
        </w:rPr>
        <w:t xml:space="preserve">he </w:t>
      </w:r>
      <w:r w:rsidR="00B17FE4" w:rsidRPr="007368C9">
        <w:rPr>
          <w:rFonts w:ascii="Arial" w:hAnsi="Arial" w:cs="Arial"/>
          <w:sz w:val="24"/>
          <w:szCs w:val="24"/>
        </w:rPr>
        <w:t>HSR</w:t>
      </w:r>
      <w:r w:rsidR="0017232E" w:rsidRPr="007368C9">
        <w:rPr>
          <w:rFonts w:ascii="Arial" w:hAnsi="Arial" w:cs="Arial"/>
          <w:sz w:val="24"/>
          <w:szCs w:val="24"/>
        </w:rPr>
        <w:t xml:space="preserve"> exceeds the estimate of the project’s </w:t>
      </w:r>
      <w:r w:rsidR="00012778">
        <w:rPr>
          <w:rFonts w:ascii="Arial" w:hAnsi="Arial" w:cs="Arial"/>
          <w:sz w:val="24"/>
          <w:szCs w:val="24"/>
        </w:rPr>
        <w:t>AGSLCS</w:t>
      </w:r>
      <w:r w:rsidR="0017232E" w:rsidRPr="007368C9">
        <w:rPr>
          <w:rFonts w:ascii="Arial" w:hAnsi="Arial" w:cs="Arial"/>
          <w:sz w:val="24"/>
          <w:szCs w:val="24"/>
        </w:rPr>
        <w:t xml:space="preserve"> as of the transition date</w:t>
      </w:r>
      <w:r w:rsidRPr="007368C9">
        <w:rPr>
          <w:rFonts w:ascii="Arial" w:hAnsi="Arial" w:cs="Arial"/>
          <w:sz w:val="24"/>
          <w:szCs w:val="24"/>
        </w:rPr>
        <w:t>, then t</w:t>
      </w:r>
      <w:r w:rsidR="0017232E" w:rsidRPr="007368C9">
        <w:rPr>
          <w:rFonts w:ascii="Arial" w:hAnsi="Arial" w:cs="Arial"/>
          <w:sz w:val="24"/>
          <w:szCs w:val="24"/>
        </w:rPr>
        <w:t>he project</w:t>
      </w:r>
      <w:r w:rsidRPr="007368C9">
        <w:rPr>
          <w:rFonts w:ascii="Arial" w:hAnsi="Arial" w:cs="Arial"/>
          <w:sz w:val="24"/>
          <w:szCs w:val="24"/>
        </w:rPr>
        <w:t xml:space="preserve"> operator </w:t>
      </w:r>
      <w:r w:rsidR="0017232E" w:rsidRPr="007368C9">
        <w:rPr>
          <w:rFonts w:ascii="Arial" w:hAnsi="Arial" w:cs="Arial"/>
          <w:sz w:val="24"/>
          <w:szCs w:val="24"/>
        </w:rPr>
        <w:t xml:space="preserve">must include the </w:t>
      </w:r>
      <w:r w:rsidR="00F27C60" w:rsidRPr="007368C9">
        <w:rPr>
          <w:rFonts w:ascii="Arial" w:hAnsi="Arial" w:cs="Arial"/>
          <w:sz w:val="24"/>
          <w:szCs w:val="24"/>
        </w:rPr>
        <w:t>HSR</w:t>
      </w:r>
      <w:r w:rsidR="0017232E" w:rsidRPr="007368C9">
        <w:rPr>
          <w:rFonts w:ascii="Arial" w:hAnsi="Arial" w:cs="Arial"/>
          <w:sz w:val="24"/>
          <w:szCs w:val="24"/>
        </w:rPr>
        <w:t xml:space="preserve"> in updating the project’s baseline to meet </w:t>
      </w:r>
      <w:r w:rsidR="00012778">
        <w:rPr>
          <w:rFonts w:ascii="Arial" w:hAnsi="Arial" w:cs="Arial"/>
          <w:sz w:val="24"/>
          <w:szCs w:val="24"/>
        </w:rPr>
        <w:t>the</w:t>
      </w:r>
      <w:r w:rsidR="0017232E" w:rsidRPr="007368C9">
        <w:rPr>
          <w:rFonts w:ascii="Arial" w:hAnsi="Arial" w:cs="Arial"/>
          <w:sz w:val="24"/>
          <w:szCs w:val="24"/>
        </w:rPr>
        <w:t xml:space="preserve"> standards under the </w:t>
      </w:r>
      <w:r w:rsidR="00012778">
        <w:rPr>
          <w:rFonts w:ascii="Arial" w:hAnsi="Arial" w:cs="Arial"/>
          <w:sz w:val="24"/>
          <w:szCs w:val="24"/>
        </w:rPr>
        <w:t>COP</w:t>
      </w:r>
      <w:r w:rsidR="0017232E" w:rsidRPr="007368C9">
        <w:rPr>
          <w:rFonts w:ascii="Arial" w:hAnsi="Arial" w:cs="Arial"/>
          <w:sz w:val="24"/>
          <w:szCs w:val="24"/>
        </w:rPr>
        <w:t xml:space="preserve">.  No </w:t>
      </w:r>
      <w:r w:rsidR="00935D98" w:rsidRPr="007368C9">
        <w:rPr>
          <w:rFonts w:ascii="Arial" w:hAnsi="Arial" w:cs="Arial"/>
          <w:sz w:val="24"/>
          <w:szCs w:val="24"/>
        </w:rPr>
        <w:t>ARB</w:t>
      </w:r>
      <w:r w:rsidR="0017232E" w:rsidRPr="007368C9">
        <w:rPr>
          <w:rFonts w:ascii="Arial" w:hAnsi="Arial" w:cs="Arial"/>
          <w:sz w:val="24"/>
          <w:szCs w:val="24"/>
        </w:rPr>
        <w:t xml:space="preserve"> </w:t>
      </w:r>
      <w:r w:rsidR="00882076" w:rsidRPr="007368C9">
        <w:rPr>
          <w:rFonts w:ascii="Arial" w:hAnsi="Arial" w:cs="Arial"/>
          <w:sz w:val="24"/>
          <w:szCs w:val="24"/>
        </w:rPr>
        <w:t xml:space="preserve">offset </w:t>
      </w:r>
      <w:r w:rsidR="0017232E" w:rsidRPr="007368C9">
        <w:rPr>
          <w:rFonts w:ascii="Arial" w:hAnsi="Arial" w:cs="Arial"/>
          <w:sz w:val="24"/>
          <w:szCs w:val="24"/>
        </w:rPr>
        <w:t xml:space="preserve">credits can be issued </w:t>
      </w:r>
      <w:r w:rsidR="00935D98" w:rsidRPr="007368C9">
        <w:rPr>
          <w:rFonts w:ascii="Arial" w:hAnsi="Arial" w:cs="Arial"/>
          <w:sz w:val="24"/>
          <w:szCs w:val="24"/>
        </w:rPr>
        <w:t xml:space="preserve">under the COP </w:t>
      </w:r>
      <w:r w:rsidR="0017232E" w:rsidRPr="007368C9">
        <w:rPr>
          <w:rFonts w:ascii="Arial" w:hAnsi="Arial" w:cs="Arial"/>
          <w:sz w:val="24"/>
          <w:szCs w:val="24"/>
        </w:rPr>
        <w:t xml:space="preserve">until the project’s inventory of </w:t>
      </w:r>
      <w:r w:rsidR="00012778">
        <w:rPr>
          <w:rFonts w:ascii="Arial" w:hAnsi="Arial" w:cs="Arial"/>
          <w:sz w:val="24"/>
          <w:szCs w:val="24"/>
        </w:rPr>
        <w:t>AGSLCS</w:t>
      </w:r>
      <w:r w:rsidR="0017232E" w:rsidRPr="007368C9">
        <w:rPr>
          <w:rFonts w:ascii="Arial" w:hAnsi="Arial" w:cs="Arial"/>
          <w:sz w:val="24"/>
          <w:szCs w:val="24"/>
        </w:rPr>
        <w:t xml:space="preserve"> exceeds the updated baseline.</w:t>
      </w:r>
      <w:bookmarkStart w:id="18" w:name="_Ref404271667"/>
      <w:bookmarkStart w:id="19" w:name="_Toc404274034"/>
    </w:p>
    <w:bookmarkEnd w:id="18"/>
    <w:bookmarkEnd w:id="19"/>
    <w:p w:rsidR="00135434" w:rsidRPr="007368C9" w:rsidRDefault="001747A7" w:rsidP="00B76EED">
      <w:pPr>
        <w:jc w:val="center"/>
        <w:rPr>
          <w:rFonts w:ascii="Arial" w:hAnsi="Arial" w:cs="Arial"/>
          <w:sz w:val="24"/>
          <w:szCs w:val="24"/>
        </w:rPr>
      </w:pPr>
      <w:r>
        <w:rPr>
          <w:rFonts w:ascii="Arial" w:hAnsi="Arial" w:cs="Arial"/>
          <w:noProof/>
          <w:sz w:val="24"/>
          <w:szCs w:val="24"/>
        </w:rPr>
        <w:drawing>
          <wp:inline distT="0" distB="0" distL="0" distR="0" wp14:anchorId="15A3C321" wp14:editId="468175B8">
            <wp:extent cx="4886325" cy="2861781"/>
            <wp:effectExtent l="19050" t="19050" r="952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1930" cy="2876777"/>
                    </a:xfrm>
                    <a:prstGeom prst="rect">
                      <a:avLst/>
                    </a:prstGeom>
                    <a:noFill/>
                    <a:ln>
                      <a:solidFill>
                        <a:schemeClr val="accent1"/>
                      </a:solidFill>
                    </a:ln>
                  </pic:spPr>
                </pic:pic>
              </a:graphicData>
            </a:graphic>
          </wp:inline>
        </w:drawing>
      </w:r>
    </w:p>
    <w:p w:rsidR="003B56A8" w:rsidRPr="007368C9" w:rsidRDefault="002B0875" w:rsidP="00012778">
      <w:pPr>
        <w:rPr>
          <w:rFonts w:ascii="Arial" w:hAnsi="Arial" w:cs="Arial"/>
          <w:sz w:val="24"/>
          <w:szCs w:val="24"/>
        </w:rPr>
      </w:pPr>
      <w:r>
        <w:rPr>
          <w:rFonts w:ascii="Arial" w:hAnsi="Arial" w:cs="Arial"/>
          <w:b/>
          <w:sz w:val="24"/>
          <w:szCs w:val="24"/>
        </w:rPr>
        <w:tab/>
      </w:r>
      <w:r w:rsidR="003B56A8" w:rsidRPr="007368C9">
        <w:rPr>
          <w:rFonts w:ascii="Arial" w:hAnsi="Arial" w:cs="Arial"/>
          <w:b/>
          <w:sz w:val="24"/>
          <w:szCs w:val="24"/>
        </w:rPr>
        <w:t>Figure 4</w:t>
      </w:r>
      <w:r w:rsidR="00012778">
        <w:rPr>
          <w:rFonts w:ascii="Arial" w:hAnsi="Arial" w:cs="Arial"/>
          <w:sz w:val="24"/>
          <w:szCs w:val="24"/>
        </w:rPr>
        <w:t xml:space="preserve">. The project baseline must be updated if </w:t>
      </w:r>
      <w:r w:rsidR="003B56A8" w:rsidRPr="007368C9">
        <w:rPr>
          <w:rFonts w:ascii="Arial" w:hAnsi="Arial" w:cs="Arial"/>
          <w:sz w:val="24"/>
          <w:szCs w:val="24"/>
        </w:rPr>
        <w:t xml:space="preserve">ICS &lt; CP, and the </w:t>
      </w:r>
      <w:r w:rsidR="00012778">
        <w:rPr>
          <w:rFonts w:ascii="Arial" w:hAnsi="Arial" w:cs="Arial"/>
          <w:sz w:val="24"/>
          <w:szCs w:val="24"/>
        </w:rPr>
        <w:t xml:space="preserve">HSR </w:t>
      </w:r>
      <w:r w:rsidR="003B56A8" w:rsidRPr="007368C9">
        <w:rPr>
          <w:rFonts w:ascii="Arial" w:hAnsi="Arial" w:cs="Arial"/>
          <w:sz w:val="24"/>
          <w:szCs w:val="24"/>
        </w:rPr>
        <w:t xml:space="preserve">&gt; </w:t>
      </w:r>
      <w:r>
        <w:rPr>
          <w:rFonts w:ascii="Arial" w:hAnsi="Arial" w:cs="Arial"/>
          <w:sz w:val="24"/>
          <w:szCs w:val="24"/>
        </w:rPr>
        <w:tab/>
      </w:r>
      <w:r w:rsidR="00012778">
        <w:rPr>
          <w:rFonts w:ascii="Arial" w:hAnsi="Arial" w:cs="Arial"/>
          <w:sz w:val="24"/>
          <w:szCs w:val="24"/>
        </w:rPr>
        <w:t>AGSLCD</w:t>
      </w:r>
      <w:r w:rsidR="003B56A8" w:rsidRPr="007368C9">
        <w:rPr>
          <w:rFonts w:ascii="Arial" w:hAnsi="Arial" w:cs="Arial"/>
          <w:sz w:val="24"/>
          <w:szCs w:val="24"/>
        </w:rPr>
        <w:t xml:space="preserve"> </w:t>
      </w:r>
      <w:r w:rsidR="00012778">
        <w:rPr>
          <w:rFonts w:ascii="Arial" w:hAnsi="Arial" w:cs="Arial"/>
          <w:sz w:val="24"/>
          <w:szCs w:val="24"/>
        </w:rPr>
        <w:t>at</w:t>
      </w:r>
      <w:r w:rsidR="003B56A8" w:rsidRPr="007368C9">
        <w:rPr>
          <w:rFonts w:ascii="Arial" w:hAnsi="Arial" w:cs="Arial"/>
          <w:sz w:val="24"/>
          <w:szCs w:val="24"/>
        </w:rPr>
        <w:t xml:space="preserve"> transition date.</w:t>
      </w:r>
    </w:p>
    <w:p w:rsidR="00D9617E" w:rsidRPr="00012778" w:rsidRDefault="0067097F" w:rsidP="00012778">
      <w:pPr>
        <w:pStyle w:val="Heading2"/>
        <w:numPr>
          <w:ilvl w:val="1"/>
          <w:numId w:val="1"/>
        </w:numPr>
        <w:ind w:left="1080" w:hanging="720"/>
        <w:rPr>
          <w:rFonts w:ascii="Arial" w:hAnsi="Arial" w:cs="Arial"/>
        </w:rPr>
      </w:pPr>
      <w:bookmarkStart w:id="20" w:name="_Toc410056647"/>
      <w:bookmarkStart w:id="21" w:name="_Toc410056648"/>
      <w:bookmarkStart w:id="22" w:name="_Toc410056649"/>
      <w:bookmarkStart w:id="23" w:name="_Toc410056650"/>
      <w:bookmarkStart w:id="24" w:name="_Toc410056651"/>
      <w:bookmarkStart w:id="25" w:name="_Toc414534276"/>
      <w:bookmarkEnd w:id="20"/>
      <w:bookmarkEnd w:id="21"/>
      <w:bookmarkEnd w:id="22"/>
      <w:bookmarkEnd w:id="23"/>
      <w:bookmarkEnd w:id="24"/>
      <w:r w:rsidRPr="00012778">
        <w:rPr>
          <w:rFonts w:ascii="Arial" w:hAnsi="Arial" w:cs="Arial"/>
        </w:rPr>
        <w:t>Develop</w:t>
      </w:r>
      <w:r w:rsidR="00882076" w:rsidRPr="00012778">
        <w:rPr>
          <w:rFonts w:ascii="Arial" w:hAnsi="Arial" w:cs="Arial"/>
        </w:rPr>
        <w:t xml:space="preserve">ment of </w:t>
      </w:r>
      <w:r w:rsidRPr="00012778">
        <w:rPr>
          <w:rFonts w:ascii="Arial" w:hAnsi="Arial" w:cs="Arial"/>
        </w:rPr>
        <w:t>a Representative Commencement Date</w:t>
      </w:r>
      <w:r w:rsidR="00BA349F" w:rsidRPr="00012778">
        <w:rPr>
          <w:rFonts w:ascii="Arial" w:hAnsi="Arial" w:cs="Arial"/>
        </w:rPr>
        <w:t xml:space="preserve"> Inventory</w:t>
      </w:r>
      <w:bookmarkEnd w:id="25"/>
      <w:r w:rsidR="00BA349F" w:rsidRPr="00012778">
        <w:rPr>
          <w:rFonts w:ascii="Arial" w:hAnsi="Arial" w:cs="Arial"/>
        </w:rPr>
        <w:t xml:space="preserve"> </w:t>
      </w:r>
    </w:p>
    <w:p w:rsidR="00D9617E" w:rsidRPr="007368C9" w:rsidRDefault="00880FAF" w:rsidP="000F2EF3">
      <w:pPr>
        <w:ind w:left="360"/>
        <w:rPr>
          <w:rFonts w:ascii="Arial" w:hAnsi="Arial" w:cs="Arial"/>
          <w:sz w:val="24"/>
          <w:szCs w:val="24"/>
        </w:rPr>
      </w:pPr>
      <w:r>
        <w:rPr>
          <w:rFonts w:ascii="Arial" w:hAnsi="Arial" w:cs="Arial"/>
          <w:sz w:val="24"/>
          <w:szCs w:val="24"/>
        </w:rPr>
        <w:t>This section of the guidance is a</w:t>
      </w:r>
      <w:r w:rsidR="00D9617E" w:rsidRPr="007368C9">
        <w:rPr>
          <w:rFonts w:ascii="Arial" w:hAnsi="Arial" w:cs="Arial"/>
          <w:sz w:val="24"/>
          <w:szCs w:val="24"/>
        </w:rPr>
        <w:t xml:space="preserve">pplicable to all </w:t>
      </w:r>
      <w:r w:rsidR="00935D98" w:rsidRPr="007368C9">
        <w:rPr>
          <w:rFonts w:ascii="Arial" w:hAnsi="Arial" w:cs="Arial"/>
          <w:sz w:val="24"/>
          <w:szCs w:val="24"/>
        </w:rPr>
        <w:t>CAR</w:t>
      </w:r>
      <w:r w:rsidR="00882076" w:rsidRPr="007368C9">
        <w:rPr>
          <w:rFonts w:ascii="Arial" w:hAnsi="Arial" w:cs="Arial"/>
          <w:sz w:val="24"/>
          <w:szCs w:val="24"/>
        </w:rPr>
        <w:t xml:space="preserve"> Forest Project Protocol </w:t>
      </w:r>
      <w:r w:rsidR="00197CC6" w:rsidRPr="007368C9">
        <w:rPr>
          <w:rFonts w:ascii="Arial" w:hAnsi="Arial" w:cs="Arial"/>
          <w:sz w:val="24"/>
          <w:szCs w:val="24"/>
        </w:rPr>
        <w:t xml:space="preserve">Version </w:t>
      </w:r>
      <w:r w:rsidR="00D9617E" w:rsidRPr="007368C9">
        <w:rPr>
          <w:rFonts w:ascii="Arial" w:hAnsi="Arial" w:cs="Arial"/>
          <w:sz w:val="24"/>
          <w:szCs w:val="24"/>
        </w:rPr>
        <w:t xml:space="preserve">2.1 </w:t>
      </w:r>
      <w:r w:rsidR="004C0ABB">
        <w:rPr>
          <w:rFonts w:ascii="Arial" w:hAnsi="Arial" w:cs="Arial"/>
          <w:sz w:val="24"/>
          <w:szCs w:val="24"/>
        </w:rPr>
        <w:t xml:space="preserve">Conservation –Based </w:t>
      </w:r>
      <w:r w:rsidR="00197CC6" w:rsidRPr="007368C9">
        <w:rPr>
          <w:rFonts w:ascii="Arial" w:hAnsi="Arial" w:cs="Arial"/>
          <w:sz w:val="24"/>
          <w:szCs w:val="24"/>
        </w:rPr>
        <w:t xml:space="preserve">Forest Management </w:t>
      </w:r>
      <w:r w:rsidR="00D9617E" w:rsidRPr="007368C9">
        <w:rPr>
          <w:rFonts w:ascii="Arial" w:hAnsi="Arial" w:cs="Arial"/>
          <w:sz w:val="24"/>
          <w:szCs w:val="24"/>
        </w:rPr>
        <w:t xml:space="preserve">projects and </w:t>
      </w:r>
      <w:r w:rsidR="00935D98" w:rsidRPr="007368C9">
        <w:rPr>
          <w:rFonts w:ascii="Arial" w:hAnsi="Arial" w:cs="Arial"/>
          <w:sz w:val="24"/>
          <w:szCs w:val="24"/>
        </w:rPr>
        <w:t>CAR</w:t>
      </w:r>
      <w:r w:rsidR="00882076" w:rsidRPr="007368C9">
        <w:rPr>
          <w:rFonts w:ascii="Arial" w:hAnsi="Arial" w:cs="Arial"/>
          <w:sz w:val="24"/>
          <w:szCs w:val="24"/>
        </w:rPr>
        <w:t xml:space="preserve"> Forest Project Protocol V</w:t>
      </w:r>
      <w:r w:rsidR="004C0ABB">
        <w:rPr>
          <w:rFonts w:ascii="Arial" w:hAnsi="Arial" w:cs="Arial"/>
          <w:sz w:val="24"/>
          <w:szCs w:val="24"/>
        </w:rPr>
        <w:t xml:space="preserve">ersion 3.x IFM </w:t>
      </w:r>
      <w:r w:rsidR="00882076" w:rsidRPr="007368C9">
        <w:rPr>
          <w:rFonts w:ascii="Arial" w:hAnsi="Arial" w:cs="Arial"/>
          <w:sz w:val="24"/>
          <w:szCs w:val="24"/>
        </w:rPr>
        <w:t xml:space="preserve">projects </w:t>
      </w:r>
      <w:r w:rsidR="006B0DAB">
        <w:rPr>
          <w:rFonts w:ascii="Arial" w:hAnsi="Arial" w:cs="Arial"/>
          <w:sz w:val="24"/>
          <w:szCs w:val="24"/>
        </w:rPr>
        <w:t xml:space="preserve">with initial stocks below common practice.  </w:t>
      </w:r>
    </w:p>
    <w:p w:rsidR="00BA349F" w:rsidRPr="007368C9" w:rsidRDefault="00BA349F" w:rsidP="000F2EF3">
      <w:pPr>
        <w:ind w:left="360"/>
        <w:rPr>
          <w:rFonts w:ascii="Arial" w:hAnsi="Arial" w:cs="Arial"/>
          <w:sz w:val="24"/>
          <w:szCs w:val="24"/>
        </w:rPr>
      </w:pPr>
      <w:r w:rsidRPr="007368C9">
        <w:rPr>
          <w:rFonts w:ascii="Arial" w:hAnsi="Arial" w:cs="Arial"/>
          <w:sz w:val="24"/>
          <w:szCs w:val="24"/>
        </w:rPr>
        <w:t xml:space="preserve">The transitioning project </w:t>
      </w:r>
      <w:r w:rsidR="00E33791">
        <w:rPr>
          <w:rFonts w:ascii="Arial" w:hAnsi="Arial" w:cs="Arial"/>
          <w:sz w:val="24"/>
          <w:szCs w:val="24"/>
        </w:rPr>
        <w:t xml:space="preserve">should </w:t>
      </w:r>
      <w:r w:rsidRPr="007368C9">
        <w:rPr>
          <w:rFonts w:ascii="Arial" w:hAnsi="Arial" w:cs="Arial"/>
          <w:sz w:val="24"/>
          <w:szCs w:val="24"/>
        </w:rPr>
        <w:t xml:space="preserve">develop a current inventory estimate that complies with the requirements of the </w:t>
      </w:r>
      <w:r w:rsidR="00882076" w:rsidRPr="007368C9">
        <w:rPr>
          <w:rFonts w:ascii="Arial" w:hAnsi="Arial" w:cs="Arial"/>
          <w:sz w:val="24"/>
          <w:szCs w:val="24"/>
        </w:rPr>
        <w:t>COP</w:t>
      </w:r>
      <w:r w:rsidR="00CB7729">
        <w:rPr>
          <w:rFonts w:ascii="Arial" w:hAnsi="Arial" w:cs="Arial"/>
          <w:sz w:val="24"/>
          <w:szCs w:val="24"/>
        </w:rPr>
        <w:t xml:space="preserve">, including the use of volume </w:t>
      </w:r>
      <w:r w:rsidR="00CB207B">
        <w:rPr>
          <w:rFonts w:ascii="Arial" w:hAnsi="Arial" w:cs="Arial"/>
          <w:sz w:val="24"/>
          <w:szCs w:val="24"/>
        </w:rPr>
        <w:t xml:space="preserve">models </w:t>
      </w:r>
      <w:r w:rsidR="00CB7729">
        <w:rPr>
          <w:rFonts w:ascii="Arial" w:hAnsi="Arial" w:cs="Arial"/>
          <w:sz w:val="24"/>
          <w:szCs w:val="24"/>
        </w:rPr>
        <w:t>and biomass equations adopted with the COP</w:t>
      </w:r>
      <w:r w:rsidR="00880FAF">
        <w:rPr>
          <w:rFonts w:ascii="Arial" w:hAnsi="Arial" w:cs="Arial"/>
          <w:sz w:val="24"/>
          <w:szCs w:val="24"/>
        </w:rPr>
        <w:t>.</w:t>
      </w:r>
      <w:r w:rsidR="00B76DFD">
        <w:rPr>
          <w:rStyle w:val="FootnoteReference"/>
          <w:rFonts w:ascii="Arial" w:hAnsi="Arial" w:cs="Arial"/>
          <w:sz w:val="24"/>
          <w:szCs w:val="24"/>
        </w:rPr>
        <w:footnoteReference w:id="7"/>
      </w:r>
      <w:r w:rsidR="00880FAF">
        <w:rPr>
          <w:rFonts w:ascii="Arial" w:hAnsi="Arial" w:cs="Arial"/>
          <w:sz w:val="24"/>
          <w:szCs w:val="24"/>
        </w:rPr>
        <w:t xml:space="preserve">  </w:t>
      </w:r>
      <w:r w:rsidRPr="007368C9">
        <w:rPr>
          <w:rFonts w:ascii="Arial" w:hAnsi="Arial" w:cs="Arial"/>
          <w:sz w:val="24"/>
          <w:szCs w:val="24"/>
        </w:rPr>
        <w:t xml:space="preserve">This inventory will be verified according to the verification </w:t>
      </w:r>
      <w:r w:rsidR="004A7725" w:rsidRPr="007368C9">
        <w:rPr>
          <w:rFonts w:ascii="Arial" w:hAnsi="Arial" w:cs="Arial"/>
          <w:sz w:val="24"/>
          <w:szCs w:val="24"/>
        </w:rPr>
        <w:t>requirements</w:t>
      </w:r>
      <w:r w:rsidRPr="007368C9">
        <w:rPr>
          <w:rFonts w:ascii="Arial" w:hAnsi="Arial" w:cs="Arial"/>
          <w:sz w:val="24"/>
          <w:szCs w:val="24"/>
        </w:rPr>
        <w:t xml:space="preserve"> in the </w:t>
      </w:r>
      <w:r w:rsidR="00882076" w:rsidRPr="007368C9">
        <w:rPr>
          <w:rFonts w:ascii="Arial" w:hAnsi="Arial" w:cs="Arial"/>
          <w:sz w:val="24"/>
          <w:szCs w:val="24"/>
        </w:rPr>
        <w:t>COP</w:t>
      </w:r>
      <w:r w:rsidRPr="007368C9">
        <w:rPr>
          <w:rFonts w:ascii="Arial" w:hAnsi="Arial" w:cs="Arial"/>
          <w:sz w:val="24"/>
          <w:szCs w:val="24"/>
        </w:rPr>
        <w:t xml:space="preserve"> as part of the transition.  The </w:t>
      </w:r>
      <w:r w:rsidR="00882076" w:rsidRPr="007368C9">
        <w:rPr>
          <w:rFonts w:ascii="Arial" w:hAnsi="Arial" w:cs="Arial"/>
          <w:sz w:val="24"/>
          <w:szCs w:val="24"/>
        </w:rPr>
        <w:t>COP</w:t>
      </w:r>
      <w:r w:rsidRPr="007368C9">
        <w:rPr>
          <w:rFonts w:ascii="Arial" w:hAnsi="Arial" w:cs="Arial"/>
          <w:sz w:val="24"/>
          <w:szCs w:val="24"/>
        </w:rPr>
        <w:t xml:space="preserve"> requires that the inventory be based on the above and belowground portions of standing live and dead trees</w:t>
      </w:r>
      <w:r w:rsidR="00880FAF">
        <w:rPr>
          <w:rFonts w:ascii="Arial" w:hAnsi="Arial" w:cs="Arial"/>
          <w:sz w:val="24"/>
          <w:szCs w:val="24"/>
        </w:rPr>
        <w:t>.</w:t>
      </w:r>
      <w:r w:rsidR="00E33791">
        <w:rPr>
          <w:rStyle w:val="FootnoteReference"/>
          <w:rFonts w:ascii="Arial" w:hAnsi="Arial" w:cs="Arial"/>
          <w:sz w:val="24"/>
          <w:szCs w:val="24"/>
        </w:rPr>
        <w:footnoteReference w:id="8"/>
      </w:r>
      <w:r w:rsidRPr="007368C9">
        <w:rPr>
          <w:rFonts w:ascii="Arial" w:hAnsi="Arial" w:cs="Arial"/>
          <w:sz w:val="24"/>
          <w:szCs w:val="24"/>
        </w:rPr>
        <w:t xml:space="preserve">  The </w:t>
      </w:r>
      <w:r w:rsidR="00882076" w:rsidRPr="007368C9">
        <w:rPr>
          <w:rFonts w:ascii="Arial" w:hAnsi="Arial" w:cs="Arial"/>
          <w:sz w:val="24"/>
          <w:szCs w:val="24"/>
        </w:rPr>
        <w:t>COP</w:t>
      </w:r>
      <w:r w:rsidRPr="007368C9">
        <w:rPr>
          <w:rFonts w:ascii="Arial" w:hAnsi="Arial" w:cs="Arial"/>
          <w:sz w:val="24"/>
          <w:szCs w:val="24"/>
        </w:rPr>
        <w:t xml:space="preserve"> does not allow other carbon pools such as soil carbon and lying dead wood</w:t>
      </w:r>
      <w:r w:rsidR="00880FAF">
        <w:rPr>
          <w:rFonts w:ascii="Arial" w:hAnsi="Arial" w:cs="Arial"/>
          <w:sz w:val="24"/>
          <w:szCs w:val="24"/>
        </w:rPr>
        <w:t>.</w:t>
      </w:r>
      <w:r w:rsidR="00D11C15">
        <w:rPr>
          <w:rStyle w:val="FootnoteReference"/>
          <w:rFonts w:ascii="Arial" w:hAnsi="Arial" w:cs="Arial"/>
          <w:sz w:val="24"/>
          <w:szCs w:val="24"/>
        </w:rPr>
        <w:footnoteReference w:id="9"/>
      </w:r>
      <w:r w:rsidR="005A3DCA" w:rsidRPr="007368C9">
        <w:rPr>
          <w:rFonts w:ascii="Arial" w:hAnsi="Arial" w:cs="Arial"/>
          <w:sz w:val="24"/>
          <w:szCs w:val="24"/>
        </w:rPr>
        <w:t xml:space="preserve"> </w:t>
      </w:r>
      <w:r w:rsidR="00880FAF">
        <w:rPr>
          <w:rFonts w:ascii="Arial" w:hAnsi="Arial" w:cs="Arial"/>
          <w:sz w:val="24"/>
          <w:szCs w:val="24"/>
        </w:rPr>
        <w:t xml:space="preserve"> </w:t>
      </w:r>
      <w:r w:rsidR="005A3DCA" w:rsidRPr="007368C9">
        <w:rPr>
          <w:rFonts w:ascii="Arial" w:hAnsi="Arial" w:cs="Arial"/>
          <w:sz w:val="24"/>
          <w:szCs w:val="24"/>
        </w:rPr>
        <w:t xml:space="preserve">The intent of the process described </w:t>
      </w:r>
      <w:r w:rsidR="00880FAF">
        <w:rPr>
          <w:rFonts w:ascii="Arial" w:hAnsi="Arial" w:cs="Arial"/>
          <w:sz w:val="24"/>
          <w:szCs w:val="24"/>
        </w:rPr>
        <w:t xml:space="preserve">here </w:t>
      </w:r>
      <w:r w:rsidR="000525E9" w:rsidRPr="007368C9">
        <w:rPr>
          <w:rFonts w:ascii="Arial" w:hAnsi="Arial" w:cs="Arial"/>
          <w:sz w:val="24"/>
          <w:szCs w:val="24"/>
        </w:rPr>
        <w:t xml:space="preserve">is to </w:t>
      </w:r>
      <w:r w:rsidR="005A3DCA" w:rsidRPr="007368C9">
        <w:rPr>
          <w:rFonts w:ascii="Arial" w:hAnsi="Arial" w:cs="Arial"/>
          <w:sz w:val="24"/>
          <w:szCs w:val="24"/>
        </w:rPr>
        <w:t xml:space="preserve">develop a representative </w:t>
      </w:r>
      <w:r w:rsidR="000525E9" w:rsidRPr="007368C9">
        <w:rPr>
          <w:rFonts w:ascii="Arial" w:hAnsi="Arial" w:cs="Arial"/>
          <w:sz w:val="24"/>
          <w:szCs w:val="24"/>
        </w:rPr>
        <w:t>projec</w:t>
      </w:r>
      <w:r w:rsidR="00C5699F">
        <w:rPr>
          <w:rFonts w:ascii="Arial" w:hAnsi="Arial" w:cs="Arial"/>
          <w:sz w:val="24"/>
          <w:szCs w:val="24"/>
        </w:rPr>
        <w:t>t commencement date inventory</w:t>
      </w:r>
      <w:r w:rsidR="005A3DCA" w:rsidRPr="007368C9">
        <w:rPr>
          <w:rFonts w:ascii="Arial" w:hAnsi="Arial" w:cs="Arial"/>
          <w:sz w:val="24"/>
          <w:szCs w:val="24"/>
        </w:rPr>
        <w:t xml:space="preserve">.  </w:t>
      </w:r>
    </w:p>
    <w:p w:rsidR="00BA349F" w:rsidRPr="007368C9" w:rsidRDefault="00BA349F" w:rsidP="000F2EF3">
      <w:pPr>
        <w:ind w:left="360"/>
        <w:rPr>
          <w:rFonts w:ascii="Arial" w:hAnsi="Arial" w:cs="Arial"/>
          <w:sz w:val="24"/>
          <w:szCs w:val="24"/>
        </w:rPr>
      </w:pPr>
      <w:r w:rsidRPr="007368C9">
        <w:rPr>
          <w:rFonts w:ascii="Arial" w:hAnsi="Arial" w:cs="Arial"/>
          <w:sz w:val="24"/>
          <w:szCs w:val="24"/>
        </w:rPr>
        <w:t xml:space="preserve">The current inventory </w:t>
      </w:r>
      <w:r w:rsidR="00457597" w:rsidRPr="007368C9">
        <w:rPr>
          <w:rFonts w:ascii="Arial" w:hAnsi="Arial" w:cs="Arial"/>
          <w:sz w:val="24"/>
          <w:szCs w:val="24"/>
        </w:rPr>
        <w:t xml:space="preserve">can </w:t>
      </w:r>
      <w:r w:rsidR="00882076" w:rsidRPr="007368C9">
        <w:rPr>
          <w:rFonts w:ascii="Arial" w:hAnsi="Arial" w:cs="Arial"/>
          <w:sz w:val="24"/>
          <w:szCs w:val="24"/>
        </w:rPr>
        <w:t>be ‘backcast</w:t>
      </w:r>
      <w:r w:rsidRPr="007368C9">
        <w:rPr>
          <w:rFonts w:ascii="Arial" w:hAnsi="Arial" w:cs="Arial"/>
          <w:sz w:val="24"/>
          <w:szCs w:val="24"/>
        </w:rPr>
        <w:t>’ to the project’s commencemen</w:t>
      </w:r>
      <w:r w:rsidR="00882076" w:rsidRPr="007368C9">
        <w:rPr>
          <w:rFonts w:ascii="Arial" w:hAnsi="Arial" w:cs="Arial"/>
          <w:sz w:val="24"/>
          <w:szCs w:val="24"/>
        </w:rPr>
        <w:t xml:space="preserve">t date, such that the </w:t>
      </w:r>
      <w:r w:rsidR="00C5699F">
        <w:rPr>
          <w:rFonts w:ascii="Arial" w:hAnsi="Arial" w:cs="Arial"/>
          <w:sz w:val="24"/>
          <w:szCs w:val="24"/>
        </w:rPr>
        <w:t>backcast</w:t>
      </w:r>
      <w:r w:rsidRPr="007368C9">
        <w:rPr>
          <w:rFonts w:ascii="Arial" w:hAnsi="Arial" w:cs="Arial"/>
          <w:sz w:val="24"/>
          <w:szCs w:val="24"/>
        </w:rPr>
        <w:t xml:space="preserve"> inventory represents the project</w:t>
      </w:r>
      <w:r w:rsidR="00882076" w:rsidRPr="007368C9">
        <w:rPr>
          <w:rFonts w:ascii="Arial" w:hAnsi="Arial" w:cs="Arial"/>
          <w:sz w:val="24"/>
          <w:szCs w:val="24"/>
        </w:rPr>
        <w:t>’s</w:t>
      </w:r>
      <w:r w:rsidRPr="007368C9">
        <w:rPr>
          <w:rFonts w:ascii="Arial" w:hAnsi="Arial" w:cs="Arial"/>
          <w:sz w:val="24"/>
          <w:szCs w:val="24"/>
        </w:rPr>
        <w:t xml:space="preserve"> </w:t>
      </w:r>
      <w:r w:rsidR="002E077E" w:rsidRPr="007368C9">
        <w:rPr>
          <w:rFonts w:ascii="Arial" w:hAnsi="Arial" w:cs="Arial"/>
          <w:sz w:val="24"/>
          <w:szCs w:val="24"/>
        </w:rPr>
        <w:t xml:space="preserve">stocks </w:t>
      </w:r>
      <w:r w:rsidRPr="007368C9">
        <w:rPr>
          <w:rFonts w:ascii="Arial" w:hAnsi="Arial" w:cs="Arial"/>
          <w:sz w:val="24"/>
          <w:szCs w:val="24"/>
        </w:rPr>
        <w:t xml:space="preserve">on </w:t>
      </w:r>
      <w:r w:rsidR="00882076" w:rsidRPr="007368C9">
        <w:rPr>
          <w:rFonts w:ascii="Arial" w:hAnsi="Arial" w:cs="Arial"/>
          <w:sz w:val="24"/>
          <w:szCs w:val="24"/>
        </w:rPr>
        <w:t xml:space="preserve">the </w:t>
      </w:r>
      <w:r w:rsidR="00C5699F">
        <w:rPr>
          <w:rFonts w:ascii="Arial" w:hAnsi="Arial" w:cs="Arial"/>
          <w:sz w:val="24"/>
          <w:szCs w:val="24"/>
        </w:rPr>
        <w:t>early action offset project</w:t>
      </w:r>
      <w:r w:rsidR="00882076" w:rsidRPr="007368C9">
        <w:rPr>
          <w:rFonts w:ascii="Arial" w:hAnsi="Arial" w:cs="Arial"/>
          <w:sz w:val="24"/>
          <w:szCs w:val="24"/>
        </w:rPr>
        <w:t xml:space="preserve"> </w:t>
      </w:r>
      <w:r w:rsidR="002E077E" w:rsidRPr="007368C9">
        <w:rPr>
          <w:rFonts w:ascii="Arial" w:hAnsi="Arial" w:cs="Arial"/>
          <w:sz w:val="24"/>
          <w:szCs w:val="24"/>
        </w:rPr>
        <w:t xml:space="preserve">commencement </w:t>
      </w:r>
      <w:r w:rsidRPr="007368C9">
        <w:rPr>
          <w:rFonts w:ascii="Arial" w:hAnsi="Arial" w:cs="Arial"/>
          <w:sz w:val="24"/>
          <w:szCs w:val="24"/>
        </w:rPr>
        <w:t xml:space="preserve">date.  </w:t>
      </w:r>
      <w:r w:rsidR="00584A60" w:rsidRPr="007368C9">
        <w:rPr>
          <w:rFonts w:ascii="Arial" w:hAnsi="Arial" w:cs="Arial"/>
          <w:sz w:val="24"/>
          <w:szCs w:val="24"/>
        </w:rPr>
        <w:t xml:space="preserve">Early action </w:t>
      </w:r>
      <w:r w:rsidR="00935D98" w:rsidRPr="007368C9">
        <w:rPr>
          <w:rFonts w:ascii="Arial" w:hAnsi="Arial" w:cs="Arial"/>
          <w:sz w:val="24"/>
          <w:szCs w:val="24"/>
        </w:rPr>
        <w:t xml:space="preserve">offset </w:t>
      </w:r>
      <w:r w:rsidR="00584A60" w:rsidRPr="007368C9">
        <w:rPr>
          <w:rFonts w:ascii="Arial" w:hAnsi="Arial" w:cs="Arial"/>
          <w:sz w:val="24"/>
          <w:szCs w:val="24"/>
        </w:rPr>
        <w:t xml:space="preserve">projects that have inventory data </w:t>
      </w:r>
      <w:r w:rsidR="00935D98" w:rsidRPr="007368C9">
        <w:rPr>
          <w:rFonts w:ascii="Arial" w:hAnsi="Arial" w:cs="Arial"/>
          <w:sz w:val="24"/>
          <w:szCs w:val="24"/>
        </w:rPr>
        <w:t>at</w:t>
      </w:r>
      <w:r w:rsidR="00584A60" w:rsidRPr="007368C9">
        <w:rPr>
          <w:rFonts w:ascii="Arial" w:hAnsi="Arial" w:cs="Arial"/>
          <w:sz w:val="24"/>
          <w:szCs w:val="24"/>
        </w:rPr>
        <w:t xml:space="preserve"> the project commencement date that is compliant with the quantification requirements in the </w:t>
      </w:r>
      <w:r w:rsidR="00882076" w:rsidRPr="007368C9">
        <w:rPr>
          <w:rFonts w:ascii="Arial" w:hAnsi="Arial" w:cs="Arial"/>
          <w:sz w:val="24"/>
          <w:szCs w:val="24"/>
        </w:rPr>
        <w:t xml:space="preserve">COP </w:t>
      </w:r>
      <w:r w:rsidR="00584A60" w:rsidRPr="007368C9">
        <w:rPr>
          <w:rFonts w:ascii="Arial" w:hAnsi="Arial" w:cs="Arial"/>
          <w:sz w:val="24"/>
          <w:szCs w:val="24"/>
        </w:rPr>
        <w:t>can forego this step.</w:t>
      </w:r>
      <w:r w:rsidR="00882076" w:rsidRPr="007368C9">
        <w:rPr>
          <w:rFonts w:ascii="Arial" w:hAnsi="Arial" w:cs="Arial"/>
          <w:sz w:val="24"/>
          <w:szCs w:val="24"/>
        </w:rPr>
        <w:t xml:space="preserve"> </w:t>
      </w:r>
      <w:r w:rsidR="00584A60" w:rsidRPr="007368C9">
        <w:rPr>
          <w:rFonts w:ascii="Arial" w:hAnsi="Arial" w:cs="Arial"/>
          <w:sz w:val="24"/>
          <w:szCs w:val="24"/>
        </w:rPr>
        <w:t xml:space="preserve"> Verifiers will examine the inventory data to ensure it meets the </w:t>
      </w:r>
      <w:r w:rsidR="00882076" w:rsidRPr="007368C9">
        <w:rPr>
          <w:rFonts w:ascii="Arial" w:hAnsi="Arial" w:cs="Arial"/>
          <w:sz w:val="24"/>
          <w:szCs w:val="24"/>
        </w:rPr>
        <w:t>COP</w:t>
      </w:r>
      <w:r w:rsidR="00584A60" w:rsidRPr="007368C9">
        <w:rPr>
          <w:rFonts w:ascii="Arial" w:hAnsi="Arial" w:cs="Arial"/>
          <w:sz w:val="24"/>
          <w:szCs w:val="24"/>
        </w:rPr>
        <w:t xml:space="preserve"> requirements.  </w:t>
      </w:r>
      <w:r w:rsidRPr="007368C9">
        <w:rPr>
          <w:rFonts w:ascii="Arial" w:hAnsi="Arial" w:cs="Arial"/>
          <w:sz w:val="24"/>
          <w:szCs w:val="24"/>
        </w:rPr>
        <w:t xml:space="preserve">Backcasting the inventory </w:t>
      </w:r>
      <w:r w:rsidR="00D11C15">
        <w:rPr>
          <w:rFonts w:ascii="Arial" w:hAnsi="Arial" w:cs="Arial"/>
          <w:sz w:val="24"/>
          <w:szCs w:val="24"/>
        </w:rPr>
        <w:t xml:space="preserve">should be </w:t>
      </w:r>
      <w:r w:rsidRPr="007368C9">
        <w:rPr>
          <w:rFonts w:ascii="Arial" w:hAnsi="Arial" w:cs="Arial"/>
          <w:sz w:val="24"/>
          <w:szCs w:val="24"/>
        </w:rPr>
        <w:t xml:space="preserve">accomplished </w:t>
      </w:r>
      <w:r w:rsidR="00C5699F">
        <w:rPr>
          <w:rFonts w:ascii="Arial" w:hAnsi="Arial" w:cs="Arial"/>
          <w:sz w:val="24"/>
          <w:szCs w:val="24"/>
        </w:rPr>
        <w:t>using</w:t>
      </w:r>
      <w:r w:rsidRPr="007368C9">
        <w:rPr>
          <w:rFonts w:ascii="Arial" w:hAnsi="Arial" w:cs="Arial"/>
          <w:sz w:val="24"/>
          <w:szCs w:val="24"/>
        </w:rPr>
        <w:t xml:space="preserve"> the following steps</w:t>
      </w:r>
      <w:r w:rsidR="00052D42" w:rsidRPr="007368C9">
        <w:rPr>
          <w:rFonts w:ascii="Arial" w:hAnsi="Arial" w:cs="Arial"/>
          <w:sz w:val="24"/>
          <w:szCs w:val="24"/>
        </w:rPr>
        <w:t xml:space="preserve"> (</w:t>
      </w:r>
      <w:r w:rsidR="00C5699F">
        <w:rPr>
          <w:rFonts w:ascii="Arial" w:hAnsi="Arial" w:cs="Arial"/>
          <w:sz w:val="24"/>
          <w:szCs w:val="24"/>
        </w:rPr>
        <w:t xml:space="preserve">see </w:t>
      </w:r>
      <w:r w:rsidR="00052D42" w:rsidRPr="007368C9">
        <w:rPr>
          <w:rFonts w:ascii="Arial" w:hAnsi="Arial" w:cs="Arial"/>
          <w:sz w:val="24"/>
          <w:szCs w:val="24"/>
        </w:rPr>
        <w:t>tab</w:t>
      </w:r>
      <w:r w:rsidR="00C5699F">
        <w:rPr>
          <w:rFonts w:ascii="Arial" w:hAnsi="Arial" w:cs="Arial"/>
          <w:sz w:val="24"/>
          <w:szCs w:val="24"/>
        </w:rPr>
        <w:t>le 1 for example)</w:t>
      </w:r>
      <w:r w:rsidR="00880FAF">
        <w:rPr>
          <w:rFonts w:ascii="Arial" w:hAnsi="Arial" w:cs="Arial"/>
          <w:sz w:val="24"/>
          <w:szCs w:val="24"/>
        </w:rPr>
        <w:t>:</w:t>
      </w:r>
    </w:p>
    <w:p w:rsidR="001E1DFD" w:rsidRDefault="00BA349F" w:rsidP="001E1DFD">
      <w:pPr>
        <w:pStyle w:val="ListParagraph"/>
        <w:keepNext/>
        <w:numPr>
          <w:ilvl w:val="0"/>
          <w:numId w:val="9"/>
        </w:numPr>
        <w:tabs>
          <w:tab w:val="left" w:pos="810"/>
        </w:tabs>
        <w:ind w:left="720"/>
        <w:rPr>
          <w:rFonts w:ascii="Arial" w:hAnsi="Arial" w:cs="Arial"/>
          <w:sz w:val="24"/>
          <w:szCs w:val="24"/>
        </w:rPr>
      </w:pPr>
      <w:r w:rsidRPr="007368C9">
        <w:rPr>
          <w:rFonts w:ascii="Arial" w:hAnsi="Arial" w:cs="Arial"/>
          <w:sz w:val="24"/>
          <w:szCs w:val="24"/>
        </w:rPr>
        <w:t>Grow the inventory tree lists from the current inventory data forward</w:t>
      </w:r>
      <w:r w:rsidR="00C5699F">
        <w:rPr>
          <w:rFonts w:ascii="Arial" w:hAnsi="Arial" w:cs="Arial"/>
          <w:sz w:val="24"/>
          <w:szCs w:val="24"/>
        </w:rPr>
        <w:t xml:space="preserve"> </w:t>
      </w:r>
      <w:r w:rsidR="00C5699F" w:rsidRPr="007368C9">
        <w:rPr>
          <w:rFonts w:ascii="Arial" w:hAnsi="Arial" w:cs="Arial"/>
          <w:sz w:val="24"/>
          <w:szCs w:val="24"/>
        </w:rPr>
        <w:t>(e.g.</w:t>
      </w:r>
      <w:r w:rsidR="00880FAF">
        <w:rPr>
          <w:rFonts w:ascii="Arial" w:hAnsi="Arial" w:cs="Arial"/>
          <w:sz w:val="24"/>
          <w:szCs w:val="24"/>
        </w:rPr>
        <w:t>,</w:t>
      </w:r>
      <w:r w:rsidR="00C5699F" w:rsidRPr="007368C9">
        <w:rPr>
          <w:rFonts w:ascii="Arial" w:hAnsi="Arial" w:cs="Arial"/>
          <w:sz w:val="24"/>
          <w:szCs w:val="24"/>
        </w:rPr>
        <w:t xml:space="preserve"> </w:t>
      </w:r>
      <w:r w:rsidR="00C5699F">
        <w:rPr>
          <w:rFonts w:ascii="Arial" w:hAnsi="Arial" w:cs="Arial"/>
          <w:sz w:val="24"/>
          <w:szCs w:val="24"/>
        </w:rPr>
        <w:t>5 or 10</w:t>
      </w:r>
      <w:r w:rsidR="00C5699F" w:rsidRPr="007368C9">
        <w:rPr>
          <w:rFonts w:ascii="Arial" w:hAnsi="Arial" w:cs="Arial"/>
          <w:sz w:val="24"/>
          <w:szCs w:val="24"/>
        </w:rPr>
        <w:t xml:space="preserve"> years)</w:t>
      </w:r>
      <w:r w:rsidRPr="007368C9">
        <w:rPr>
          <w:rFonts w:ascii="Arial" w:hAnsi="Arial" w:cs="Arial"/>
          <w:sz w:val="24"/>
          <w:szCs w:val="24"/>
        </w:rPr>
        <w:t xml:space="preserve"> us</w:t>
      </w:r>
      <w:r w:rsidR="00FD7A51" w:rsidRPr="007368C9">
        <w:rPr>
          <w:rFonts w:ascii="Arial" w:hAnsi="Arial" w:cs="Arial"/>
          <w:sz w:val="24"/>
          <w:szCs w:val="24"/>
        </w:rPr>
        <w:t>ing an ARB-approved model</w:t>
      </w:r>
      <w:r w:rsidR="00882076" w:rsidRPr="007368C9">
        <w:rPr>
          <w:rFonts w:ascii="Arial" w:hAnsi="Arial" w:cs="Arial"/>
          <w:sz w:val="24"/>
          <w:szCs w:val="24"/>
        </w:rPr>
        <w:t xml:space="preserve">.  </w:t>
      </w:r>
      <w:r w:rsidRPr="007368C9">
        <w:rPr>
          <w:rFonts w:ascii="Arial" w:hAnsi="Arial" w:cs="Arial"/>
          <w:sz w:val="24"/>
          <w:szCs w:val="24"/>
        </w:rPr>
        <w:t xml:space="preserve">It is acceptable to use </w:t>
      </w:r>
      <w:r w:rsidR="00882076" w:rsidRPr="007368C9">
        <w:rPr>
          <w:rFonts w:ascii="Arial" w:hAnsi="Arial" w:cs="Arial"/>
          <w:sz w:val="24"/>
          <w:szCs w:val="24"/>
        </w:rPr>
        <w:t xml:space="preserve">an </w:t>
      </w:r>
      <w:r w:rsidRPr="007368C9">
        <w:rPr>
          <w:rFonts w:ascii="Arial" w:hAnsi="Arial" w:cs="Arial"/>
          <w:sz w:val="24"/>
          <w:szCs w:val="24"/>
        </w:rPr>
        <w:t>a</w:t>
      </w:r>
      <w:r w:rsidR="00BC469E">
        <w:rPr>
          <w:rFonts w:ascii="Arial" w:hAnsi="Arial" w:cs="Arial"/>
          <w:sz w:val="24"/>
          <w:szCs w:val="24"/>
        </w:rPr>
        <w:t xml:space="preserve">veraged tree list </w:t>
      </w:r>
      <w:r w:rsidRPr="007368C9">
        <w:rPr>
          <w:rFonts w:ascii="Arial" w:hAnsi="Arial" w:cs="Arial"/>
          <w:sz w:val="24"/>
          <w:szCs w:val="24"/>
        </w:rPr>
        <w:t>that represents an averaged plot condition from discrete plot-le</w:t>
      </w:r>
      <w:r w:rsidR="00BC469E">
        <w:rPr>
          <w:rFonts w:ascii="Arial" w:hAnsi="Arial" w:cs="Arial"/>
          <w:sz w:val="24"/>
          <w:szCs w:val="24"/>
        </w:rPr>
        <w:t>vel data</w:t>
      </w:r>
      <w:r w:rsidRPr="007368C9">
        <w:rPr>
          <w:rFonts w:ascii="Arial" w:hAnsi="Arial" w:cs="Arial"/>
          <w:sz w:val="24"/>
          <w:szCs w:val="24"/>
        </w:rPr>
        <w:t>.  Thi</w:t>
      </w:r>
      <w:r w:rsidR="00935D98" w:rsidRPr="007368C9">
        <w:rPr>
          <w:rFonts w:ascii="Arial" w:hAnsi="Arial" w:cs="Arial"/>
          <w:sz w:val="24"/>
          <w:szCs w:val="24"/>
        </w:rPr>
        <w:t xml:space="preserve">s will create </w:t>
      </w:r>
      <w:r w:rsidR="00880FAF">
        <w:rPr>
          <w:rFonts w:ascii="Arial" w:hAnsi="Arial" w:cs="Arial"/>
          <w:sz w:val="24"/>
          <w:szCs w:val="24"/>
        </w:rPr>
        <w:t xml:space="preserve">a </w:t>
      </w:r>
      <w:r w:rsidR="00935D98" w:rsidRPr="007368C9">
        <w:rPr>
          <w:rFonts w:ascii="Arial" w:hAnsi="Arial" w:cs="Arial"/>
          <w:sz w:val="24"/>
          <w:szCs w:val="24"/>
        </w:rPr>
        <w:t>‘grown’ tree list</w:t>
      </w:r>
      <w:r w:rsidRPr="007368C9">
        <w:rPr>
          <w:rFonts w:ascii="Arial" w:hAnsi="Arial" w:cs="Arial"/>
          <w:sz w:val="24"/>
          <w:szCs w:val="24"/>
        </w:rPr>
        <w:t>.</w:t>
      </w:r>
      <w:r w:rsidR="001E1DFD" w:rsidRPr="001E1DFD">
        <w:rPr>
          <w:rFonts w:ascii="Arial" w:hAnsi="Arial" w:cs="Arial"/>
          <w:sz w:val="24"/>
          <w:szCs w:val="24"/>
        </w:rPr>
        <w:t xml:space="preserve"> </w:t>
      </w:r>
    </w:p>
    <w:p w:rsidR="001E1DFD" w:rsidRDefault="001E1DFD" w:rsidP="001E1DFD">
      <w:pPr>
        <w:pStyle w:val="ListParagraph"/>
        <w:keepNext/>
        <w:numPr>
          <w:ilvl w:val="0"/>
          <w:numId w:val="9"/>
        </w:numPr>
        <w:tabs>
          <w:tab w:val="left" w:pos="810"/>
        </w:tabs>
        <w:ind w:left="720"/>
        <w:rPr>
          <w:rFonts w:ascii="Arial" w:hAnsi="Arial" w:cs="Arial"/>
          <w:sz w:val="24"/>
          <w:szCs w:val="24"/>
        </w:rPr>
      </w:pPr>
      <w:r w:rsidRPr="001E1DFD">
        <w:rPr>
          <w:rFonts w:ascii="Arial" w:hAnsi="Arial" w:cs="Arial"/>
          <w:sz w:val="24"/>
          <w:szCs w:val="24"/>
        </w:rPr>
        <w:t xml:space="preserve">Determine the height and </w:t>
      </w:r>
      <w:r w:rsidR="00880FAF">
        <w:rPr>
          <w:rFonts w:ascii="Arial" w:hAnsi="Arial" w:cs="Arial"/>
          <w:sz w:val="24"/>
          <w:szCs w:val="24"/>
        </w:rPr>
        <w:t>diameter-at-breast-height (</w:t>
      </w:r>
      <w:r w:rsidRPr="001E1DFD">
        <w:rPr>
          <w:rFonts w:ascii="Arial" w:hAnsi="Arial" w:cs="Arial"/>
          <w:sz w:val="24"/>
          <w:szCs w:val="24"/>
        </w:rPr>
        <w:t>DBH</w:t>
      </w:r>
      <w:r w:rsidR="00880FAF">
        <w:rPr>
          <w:rFonts w:ascii="Arial" w:hAnsi="Arial" w:cs="Arial"/>
          <w:sz w:val="24"/>
          <w:szCs w:val="24"/>
        </w:rPr>
        <w:t>)</w:t>
      </w:r>
      <w:r w:rsidRPr="001E1DFD">
        <w:rPr>
          <w:rFonts w:ascii="Arial" w:hAnsi="Arial" w:cs="Arial"/>
          <w:sz w:val="24"/>
          <w:szCs w:val="24"/>
        </w:rPr>
        <w:t xml:space="preserve"> growth by subtracting the current tree list height and DBH from the ‘grown’ tree list height and DBH. </w:t>
      </w:r>
    </w:p>
    <w:p w:rsidR="001E1DFD" w:rsidRPr="001E1DFD" w:rsidRDefault="001E1DFD" w:rsidP="001E1DFD">
      <w:pPr>
        <w:pStyle w:val="ListParagraph"/>
        <w:keepNext/>
        <w:numPr>
          <w:ilvl w:val="0"/>
          <w:numId w:val="9"/>
        </w:numPr>
        <w:tabs>
          <w:tab w:val="left" w:pos="810"/>
        </w:tabs>
        <w:ind w:left="720"/>
        <w:rPr>
          <w:rFonts w:ascii="Arial" w:hAnsi="Arial" w:cs="Arial"/>
          <w:sz w:val="24"/>
          <w:szCs w:val="24"/>
        </w:rPr>
      </w:pPr>
      <w:r w:rsidRPr="001E1DFD">
        <w:rPr>
          <w:rFonts w:ascii="Arial" w:hAnsi="Arial" w:cs="Arial"/>
          <w:sz w:val="24"/>
          <w:szCs w:val="24"/>
        </w:rPr>
        <w:t>Develop annual average growth increments by dividing the height and DBH growth by the number of years modeled.</w:t>
      </w:r>
    </w:p>
    <w:p w:rsidR="001E1DFD" w:rsidRDefault="001E1DFD" w:rsidP="001E1DFD">
      <w:pPr>
        <w:pStyle w:val="ListParagraph"/>
        <w:numPr>
          <w:ilvl w:val="0"/>
          <w:numId w:val="9"/>
        </w:numPr>
        <w:ind w:left="720"/>
        <w:rPr>
          <w:rFonts w:ascii="Arial" w:hAnsi="Arial" w:cs="Arial"/>
          <w:sz w:val="24"/>
          <w:szCs w:val="24"/>
        </w:rPr>
      </w:pPr>
      <w:r w:rsidRPr="001E1DFD">
        <w:rPr>
          <w:rFonts w:ascii="Arial" w:hAnsi="Arial" w:cs="Arial"/>
          <w:sz w:val="24"/>
          <w:szCs w:val="24"/>
        </w:rPr>
        <w:t xml:space="preserve">Backcast the tree list by subtracting the product of each tree record’s average annual height and DBH growth increment and the number of years between the current inventory and the early action offset project’s commencement date from the height and DBH of each tree in the current tree list. </w:t>
      </w:r>
    </w:p>
    <w:p w:rsidR="001E1DFD" w:rsidRPr="007368C9" w:rsidRDefault="001E1DFD" w:rsidP="001E1DFD">
      <w:pPr>
        <w:pStyle w:val="ListParagraph"/>
        <w:numPr>
          <w:ilvl w:val="0"/>
          <w:numId w:val="9"/>
        </w:numPr>
        <w:ind w:left="720"/>
        <w:rPr>
          <w:rFonts w:ascii="Arial" w:hAnsi="Arial" w:cs="Arial"/>
          <w:sz w:val="24"/>
          <w:szCs w:val="24"/>
        </w:rPr>
      </w:pPr>
      <w:r w:rsidRPr="007368C9">
        <w:rPr>
          <w:rFonts w:ascii="Arial" w:hAnsi="Arial" w:cs="Arial"/>
          <w:sz w:val="24"/>
          <w:szCs w:val="24"/>
        </w:rPr>
        <w:t xml:space="preserve">Assign a tree list to areas affected by harvest or natural disturbance events that occurred between the project commencement date and the project’s transition date.  This can be achieved by assigning the disturbed areas a strata value that best represents the project’s pre-disturbance condition.  The Offset Project Operator should document silviculture activities and any other disturbances that occurred requiring the assignment of a tree list. </w:t>
      </w:r>
    </w:p>
    <w:p w:rsidR="001E1DFD" w:rsidRPr="001E1DFD" w:rsidRDefault="001E1DFD" w:rsidP="001E1DFD">
      <w:pPr>
        <w:pStyle w:val="ListParagraph"/>
        <w:keepNext/>
        <w:tabs>
          <w:tab w:val="left" w:pos="810"/>
        </w:tabs>
        <w:rPr>
          <w:rFonts w:ascii="Arial" w:hAnsi="Arial" w:cs="Arial"/>
          <w:sz w:val="24"/>
          <w:szCs w:val="24"/>
        </w:rPr>
      </w:pPr>
    </w:p>
    <w:p w:rsidR="001E1DFD" w:rsidRPr="007B525D" w:rsidRDefault="001E1DFD" w:rsidP="001E1DFD">
      <w:pPr>
        <w:pStyle w:val="ListParagraph"/>
        <w:keepNext/>
        <w:tabs>
          <w:tab w:val="left" w:pos="810"/>
        </w:tabs>
        <w:rPr>
          <w:rFonts w:ascii="Arial" w:hAnsi="Arial" w:cs="Arial"/>
          <w:sz w:val="24"/>
          <w:szCs w:val="24"/>
        </w:rPr>
      </w:pPr>
      <w:r w:rsidRPr="007B525D">
        <w:rPr>
          <w:rFonts w:ascii="Arial" w:hAnsi="Arial" w:cs="Arial"/>
          <w:b/>
          <w:sz w:val="24"/>
          <w:szCs w:val="24"/>
        </w:rPr>
        <w:t>Table 1.</w:t>
      </w:r>
      <w:r w:rsidRPr="007B525D">
        <w:rPr>
          <w:rFonts w:ascii="Arial" w:hAnsi="Arial" w:cs="Arial"/>
          <w:sz w:val="24"/>
          <w:szCs w:val="24"/>
        </w:rPr>
        <w:t xml:space="preserve">  An example of backcasting a tree list 5 years </w:t>
      </w:r>
    </w:p>
    <w:p w:rsidR="001E1DFD" w:rsidRDefault="001E1DFD" w:rsidP="001E1DFD">
      <w:pPr>
        <w:pStyle w:val="ListParagraph"/>
        <w:keepNext/>
        <w:tabs>
          <w:tab w:val="left" w:pos="810"/>
        </w:tabs>
        <w:rPr>
          <w:rFonts w:ascii="Arial" w:hAnsi="Arial" w:cs="Arial"/>
          <w:sz w:val="24"/>
          <w:szCs w:val="24"/>
        </w:rPr>
      </w:pPr>
      <w:r w:rsidRPr="007368C9">
        <w:rPr>
          <w:rFonts w:ascii="Arial" w:hAnsi="Arial" w:cs="Arial"/>
          <w:noProof/>
          <w:sz w:val="24"/>
          <w:szCs w:val="24"/>
        </w:rPr>
        <w:drawing>
          <wp:inline distT="0" distB="0" distL="0" distR="0" wp14:anchorId="6F8DFE8A" wp14:editId="356AE726">
            <wp:extent cx="4895850" cy="2112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7491" cy="2112918"/>
                    </a:xfrm>
                    <a:prstGeom prst="rect">
                      <a:avLst/>
                    </a:prstGeom>
                    <a:noFill/>
                    <a:ln>
                      <a:noFill/>
                    </a:ln>
                  </pic:spPr>
                </pic:pic>
              </a:graphicData>
            </a:graphic>
          </wp:inline>
        </w:drawing>
      </w:r>
    </w:p>
    <w:p w:rsidR="007368C9" w:rsidRPr="00E94ECE" w:rsidRDefault="004A5B25" w:rsidP="000F2EF3">
      <w:pPr>
        <w:ind w:left="360"/>
        <w:rPr>
          <w:rFonts w:ascii="Arial" w:hAnsi="Arial" w:cs="Arial"/>
          <w:sz w:val="24"/>
          <w:szCs w:val="24"/>
        </w:rPr>
      </w:pPr>
      <w:r w:rsidRPr="007368C9">
        <w:rPr>
          <w:rFonts w:ascii="Arial" w:hAnsi="Arial" w:cs="Arial"/>
          <w:sz w:val="24"/>
          <w:szCs w:val="24"/>
        </w:rPr>
        <w:t>Since t</w:t>
      </w:r>
      <w:r w:rsidR="00BA7735" w:rsidRPr="007368C9">
        <w:rPr>
          <w:rFonts w:ascii="Arial" w:hAnsi="Arial" w:cs="Arial"/>
          <w:sz w:val="24"/>
          <w:szCs w:val="24"/>
        </w:rPr>
        <w:t>he goal of the</w:t>
      </w:r>
      <w:r w:rsidR="00D11C15">
        <w:rPr>
          <w:rFonts w:ascii="Arial" w:hAnsi="Arial" w:cs="Arial"/>
          <w:sz w:val="24"/>
          <w:szCs w:val="24"/>
        </w:rPr>
        <w:t xml:space="preserve"> steps listed above </w:t>
      </w:r>
      <w:r w:rsidR="00BA7735" w:rsidRPr="007368C9">
        <w:rPr>
          <w:rFonts w:ascii="Arial" w:hAnsi="Arial" w:cs="Arial"/>
          <w:sz w:val="24"/>
          <w:szCs w:val="24"/>
        </w:rPr>
        <w:t xml:space="preserve">is to establish </w:t>
      </w:r>
      <w:r w:rsidR="00457597" w:rsidRPr="007368C9">
        <w:rPr>
          <w:rFonts w:ascii="Arial" w:hAnsi="Arial" w:cs="Arial"/>
          <w:sz w:val="24"/>
          <w:szCs w:val="24"/>
        </w:rPr>
        <w:t xml:space="preserve">tree lists that represent the condition of the inventory at the commencement date that will be used as the </w:t>
      </w:r>
      <w:r w:rsidR="00BA7735" w:rsidRPr="007368C9">
        <w:rPr>
          <w:rFonts w:ascii="Arial" w:hAnsi="Arial" w:cs="Arial"/>
          <w:sz w:val="24"/>
          <w:szCs w:val="24"/>
        </w:rPr>
        <w:t xml:space="preserve">basis for modeling the baseline required for the </w:t>
      </w:r>
      <w:r w:rsidR="004A7725" w:rsidRPr="007368C9">
        <w:rPr>
          <w:rFonts w:ascii="Arial" w:hAnsi="Arial" w:cs="Arial"/>
          <w:sz w:val="24"/>
          <w:szCs w:val="24"/>
        </w:rPr>
        <w:t>COP</w:t>
      </w:r>
      <w:r w:rsidRPr="007368C9">
        <w:rPr>
          <w:rFonts w:ascii="Arial" w:hAnsi="Arial" w:cs="Arial"/>
          <w:sz w:val="24"/>
          <w:szCs w:val="24"/>
        </w:rPr>
        <w:t xml:space="preserve">, </w:t>
      </w:r>
      <w:r w:rsidR="00F83703" w:rsidRPr="007368C9">
        <w:rPr>
          <w:rFonts w:ascii="Arial" w:hAnsi="Arial" w:cs="Arial"/>
          <w:sz w:val="24"/>
          <w:szCs w:val="24"/>
        </w:rPr>
        <w:t>t</w:t>
      </w:r>
      <w:r w:rsidR="00AC6B58" w:rsidRPr="007368C9">
        <w:rPr>
          <w:rFonts w:ascii="Arial" w:hAnsi="Arial" w:cs="Arial"/>
          <w:sz w:val="24"/>
          <w:szCs w:val="24"/>
        </w:rPr>
        <w:t xml:space="preserve">he </w:t>
      </w:r>
      <w:r w:rsidR="005A3DCA" w:rsidRPr="007368C9">
        <w:rPr>
          <w:rFonts w:ascii="Arial" w:hAnsi="Arial" w:cs="Arial"/>
          <w:sz w:val="24"/>
          <w:szCs w:val="24"/>
        </w:rPr>
        <w:t xml:space="preserve">backcasted </w:t>
      </w:r>
      <w:r w:rsidR="00AC6B58" w:rsidRPr="007368C9">
        <w:rPr>
          <w:rFonts w:ascii="Arial" w:hAnsi="Arial" w:cs="Arial"/>
          <w:sz w:val="24"/>
          <w:szCs w:val="24"/>
        </w:rPr>
        <w:t xml:space="preserve">tree lists should </w:t>
      </w:r>
      <w:r w:rsidRPr="007368C9">
        <w:rPr>
          <w:rFonts w:ascii="Arial" w:hAnsi="Arial" w:cs="Arial"/>
          <w:sz w:val="24"/>
          <w:szCs w:val="24"/>
        </w:rPr>
        <w:t xml:space="preserve">also </w:t>
      </w:r>
      <w:r w:rsidR="00AC6B58" w:rsidRPr="007368C9">
        <w:rPr>
          <w:rFonts w:ascii="Arial" w:hAnsi="Arial" w:cs="Arial"/>
          <w:sz w:val="24"/>
          <w:szCs w:val="24"/>
        </w:rPr>
        <w:t xml:space="preserve">be adjusted for harvests that have occurred from the project’s commencement date to the transition date.  </w:t>
      </w:r>
      <w:r w:rsidR="00AC44DD" w:rsidRPr="007368C9">
        <w:rPr>
          <w:rFonts w:ascii="Arial" w:hAnsi="Arial" w:cs="Arial"/>
          <w:sz w:val="24"/>
          <w:szCs w:val="24"/>
        </w:rPr>
        <w:t xml:space="preserve">A reasonable approach to calculating this </w:t>
      </w:r>
      <w:r w:rsidRPr="007368C9">
        <w:rPr>
          <w:rFonts w:ascii="Arial" w:hAnsi="Arial" w:cs="Arial"/>
          <w:sz w:val="24"/>
          <w:szCs w:val="24"/>
        </w:rPr>
        <w:t>is</w:t>
      </w:r>
      <w:r w:rsidR="00AC44DD" w:rsidRPr="007368C9">
        <w:rPr>
          <w:rFonts w:ascii="Arial" w:hAnsi="Arial" w:cs="Arial"/>
          <w:sz w:val="24"/>
          <w:szCs w:val="24"/>
        </w:rPr>
        <w:t xml:space="preserve"> to review harvest records (internal records, tax reports, etc.) of board feet harvested and calculate what percentage the board feet harvested represents of </w:t>
      </w:r>
      <w:r w:rsidR="000D2D56">
        <w:rPr>
          <w:rFonts w:ascii="Arial" w:hAnsi="Arial" w:cs="Arial"/>
          <w:sz w:val="24"/>
          <w:szCs w:val="24"/>
        </w:rPr>
        <w:t xml:space="preserve">the </w:t>
      </w:r>
      <w:r w:rsidR="00AC44DD" w:rsidRPr="007368C9">
        <w:rPr>
          <w:rFonts w:ascii="Arial" w:hAnsi="Arial" w:cs="Arial"/>
          <w:sz w:val="24"/>
          <w:szCs w:val="24"/>
        </w:rPr>
        <w:t>standing board foot volume.</w:t>
      </w:r>
      <w:r w:rsidR="00B0560B" w:rsidRPr="007368C9">
        <w:rPr>
          <w:rFonts w:ascii="Arial" w:hAnsi="Arial" w:cs="Arial"/>
          <w:sz w:val="24"/>
          <w:szCs w:val="24"/>
        </w:rPr>
        <w:t xml:space="preserve">  The percentage can be multipl</w:t>
      </w:r>
      <w:r w:rsidRPr="007368C9">
        <w:rPr>
          <w:rFonts w:ascii="Arial" w:hAnsi="Arial" w:cs="Arial"/>
          <w:sz w:val="24"/>
          <w:szCs w:val="24"/>
        </w:rPr>
        <w:t>ied by the backcasted inventory, in terms of CO</w:t>
      </w:r>
      <w:r w:rsidRPr="00451798">
        <w:rPr>
          <w:rFonts w:ascii="Arial" w:hAnsi="Arial" w:cs="Arial"/>
          <w:sz w:val="24"/>
          <w:szCs w:val="24"/>
          <w:vertAlign w:val="subscript"/>
        </w:rPr>
        <w:t>2</w:t>
      </w:r>
      <w:r w:rsidRPr="007368C9">
        <w:rPr>
          <w:rFonts w:ascii="Arial" w:hAnsi="Arial" w:cs="Arial"/>
          <w:sz w:val="24"/>
          <w:szCs w:val="24"/>
        </w:rPr>
        <w:t xml:space="preserve">e, </w:t>
      </w:r>
      <w:r w:rsidR="00B0560B" w:rsidRPr="007368C9">
        <w:rPr>
          <w:rFonts w:ascii="Arial" w:hAnsi="Arial" w:cs="Arial"/>
          <w:sz w:val="24"/>
          <w:szCs w:val="24"/>
        </w:rPr>
        <w:t>to develop and estimate the CO</w:t>
      </w:r>
      <w:r w:rsidR="00B0560B" w:rsidRPr="00451798">
        <w:rPr>
          <w:rFonts w:ascii="Arial" w:hAnsi="Arial" w:cs="Arial"/>
          <w:sz w:val="24"/>
          <w:szCs w:val="24"/>
          <w:vertAlign w:val="subscript"/>
        </w:rPr>
        <w:t>2</w:t>
      </w:r>
      <w:r w:rsidR="00B0560B" w:rsidRPr="007368C9">
        <w:rPr>
          <w:rFonts w:ascii="Arial" w:hAnsi="Arial" w:cs="Arial"/>
          <w:sz w:val="24"/>
          <w:szCs w:val="24"/>
        </w:rPr>
        <w:t xml:space="preserve">e that has been removed.  Tree lists can be developed to approximate the values that were removed and assigned to stands, if appropriate, </w:t>
      </w:r>
      <w:r w:rsidR="00E94ECE">
        <w:rPr>
          <w:rFonts w:ascii="Arial" w:hAnsi="Arial" w:cs="Arial"/>
          <w:sz w:val="24"/>
          <w:szCs w:val="24"/>
        </w:rPr>
        <w:t>where trees have been harvested.</w:t>
      </w:r>
    </w:p>
    <w:p w:rsidR="00BA7735" w:rsidRPr="000F2EF3" w:rsidRDefault="00BA7735" w:rsidP="000F2EF3">
      <w:pPr>
        <w:pStyle w:val="Heading2"/>
        <w:numPr>
          <w:ilvl w:val="1"/>
          <w:numId w:val="1"/>
        </w:numPr>
        <w:ind w:left="1080" w:hanging="720"/>
        <w:rPr>
          <w:rFonts w:ascii="Arial" w:hAnsi="Arial" w:cs="Arial"/>
        </w:rPr>
      </w:pPr>
      <w:bookmarkStart w:id="26" w:name="_Toc414534277"/>
      <w:r w:rsidRPr="000F2EF3">
        <w:rPr>
          <w:rFonts w:ascii="Arial" w:hAnsi="Arial" w:cs="Arial"/>
        </w:rPr>
        <w:t>Develop a Compliance Protocol Baseline</w:t>
      </w:r>
      <w:bookmarkEnd w:id="26"/>
      <w:r w:rsidR="00584A60" w:rsidRPr="000F2EF3">
        <w:rPr>
          <w:rFonts w:ascii="Arial" w:hAnsi="Arial" w:cs="Arial"/>
        </w:rPr>
        <w:t xml:space="preserve"> </w:t>
      </w:r>
    </w:p>
    <w:p w:rsidR="00D9617E" w:rsidRPr="007368C9" w:rsidRDefault="0071308D" w:rsidP="000F2EF3">
      <w:pPr>
        <w:ind w:left="360"/>
        <w:rPr>
          <w:rFonts w:ascii="Arial" w:hAnsi="Arial" w:cs="Arial"/>
          <w:sz w:val="24"/>
          <w:szCs w:val="24"/>
        </w:rPr>
      </w:pPr>
      <w:r>
        <w:rPr>
          <w:rFonts w:ascii="Arial" w:hAnsi="Arial" w:cs="Arial"/>
          <w:sz w:val="24"/>
          <w:szCs w:val="24"/>
        </w:rPr>
        <w:t>This section of the guidance is a</w:t>
      </w:r>
      <w:r w:rsidR="00052D42" w:rsidRPr="007368C9">
        <w:rPr>
          <w:rFonts w:ascii="Arial" w:hAnsi="Arial" w:cs="Arial"/>
          <w:sz w:val="24"/>
          <w:szCs w:val="24"/>
        </w:rPr>
        <w:t xml:space="preserve">pplicable to all </w:t>
      </w:r>
      <w:r w:rsidR="004A7725" w:rsidRPr="007368C9">
        <w:rPr>
          <w:rFonts w:ascii="Arial" w:hAnsi="Arial" w:cs="Arial"/>
          <w:sz w:val="24"/>
          <w:szCs w:val="24"/>
        </w:rPr>
        <w:t>CAR</w:t>
      </w:r>
      <w:r w:rsidR="00052D42" w:rsidRPr="007368C9">
        <w:rPr>
          <w:rFonts w:ascii="Arial" w:hAnsi="Arial" w:cs="Arial"/>
          <w:sz w:val="24"/>
          <w:szCs w:val="24"/>
        </w:rPr>
        <w:t xml:space="preserve"> Forest Project Protocol Version 3.x </w:t>
      </w:r>
      <w:r w:rsidR="004A7725" w:rsidRPr="007368C9">
        <w:rPr>
          <w:rFonts w:ascii="Arial" w:hAnsi="Arial" w:cs="Arial"/>
          <w:sz w:val="24"/>
          <w:szCs w:val="24"/>
        </w:rPr>
        <w:t>IFM</w:t>
      </w:r>
      <w:r w:rsidR="00052D42" w:rsidRPr="007368C9">
        <w:rPr>
          <w:rFonts w:ascii="Arial" w:hAnsi="Arial" w:cs="Arial"/>
          <w:sz w:val="24"/>
          <w:szCs w:val="24"/>
        </w:rPr>
        <w:t xml:space="preserve"> projects</w:t>
      </w:r>
      <w:r w:rsidR="00D9617E" w:rsidRPr="007368C9">
        <w:rPr>
          <w:rFonts w:ascii="Arial" w:hAnsi="Arial" w:cs="Arial"/>
          <w:sz w:val="24"/>
          <w:szCs w:val="24"/>
        </w:rPr>
        <w:t xml:space="preserve"> that will need to include a baseline adjustment as the result of the </w:t>
      </w:r>
      <w:r w:rsidR="00052D42" w:rsidRPr="007368C9">
        <w:rPr>
          <w:rFonts w:ascii="Arial" w:hAnsi="Arial" w:cs="Arial"/>
          <w:sz w:val="24"/>
          <w:szCs w:val="24"/>
        </w:rPr>
        <w:t>HSR</w:t>
      </w:r>
      <w:r w:rsidR="00D9617E" w:rsidRPr="007368C9">
        <w:rPr>
          <w:rFonts w:ascii="Arial" w:hAnsi="Arial" w:cs="Arial"/>
          <w:sz w:val="24"/>
          <w:szCs w:val="24"/>
        </w:rPr>
        <w:t xml:space="preserve"> guidance </w:t>
      </w:r>
      <w:r w:rsidR="00F27C60" w:rsidRPr="007368C9">
        <w:rPr>
          <w:rFonts w:ascii="Arial" w:hAnsi="Arial" w:cs="Arial"/>
          <w:sz w:val="24"/>
          <w:szCs w:val="24"/>
        </w:rPr>
        <w:t>above</w:t>
      </w:r>
      <w:r w:rsidR="004A7725" w:rsidRPr="007368C9">
        <w:rPr>
          <w:rFonts w:ascii="Arial" w:hAnsi="Arial" w:cs="Arial"/>
          <w:sz w:val="24"/>
          <w:szCs w:val="24"/>
        </w:rPr>
        <w:t>.</w:t>
      </w:r>
    </w:p>
    <w:p w:rsidR="00BA7735" w:rsidRPr="007368C9" w:rsidRDefault="00BA7735" w:rsidP="000F2EF3">
      <w:pPr>
        <w:ind w:left="360"/>
        <w:rPr>
          <w:rFonts w:ascii="Arial" w:hAnsi="Arial" w:cs="Arial"/>
          <w:sz w:val="24"/>
          <w:szCs w:val="24"/>
        </w:rPr>
      </w:pPr>
      <w:r w:rsidRPr="007368C9">
        <w:rPr>
          <w:rFonts w:ascii="Arial" w:hAnsi="Arial" w:cs="Arial"/>
          <w:sz w:val="24"/>
          <w:szCs w:val="24"/>
        </w:rPr>
        <w:t xml:space="preserve">All </w:t>
      </w:r>
      <w:r w:rsidR="00D714DE" w:rsidRPr="007368C9">
        <w:rPr>
          <w:rFonts w:ascii="Arial" w:hAnsi="Arial" w:cs="Arial"/>
          <w:sz w:val="24"/>
          <w:szCs w:val="24"/>
        </w:rPr>
        <w:t>early action</w:t>
      </w:r>
      <w:r w:rsidRPr="007368C9">
        <w:rPr>
          <w:rFonts w:ascii="Arial" w:hAnsi="Arial" w:cs="Arial"/>
          <w:sz w:val="24"/>
          <w:szCs w:val="24"/>
        </w:rPr>
        <w:t xml:space="preserve"> </w:t>
      </w:r>
      <w:r w:rsidR="004A7725" w:rsidRPr="007368C9">
        <w:rPr>
          <w:rFonts w:ascii="Arial" w:hAnsi="Arial" w:cs="Arial"/>
          <w:sz w:val="24"/>
          <w:szCs w:val="24"/>
        </w:rPr>
        <w:t>IFM</w:t>
      </w:r>
      <w:r w:rsidR="00A9271B" w:rsidRPr="007368C9">
        <w:rPr>
          <w:rFonts w:ascii="Arial" w:hAnsi="Arial" w:cs="Arial"/>
          <w:sz w:val="24"/>
          <w:szCs w:val="24"/>
        </w:rPr>
        <w:t xml:space="preserve"> and</w:t>
      </w:r>
      <w:r w:rsidR="002A1D04" w:rsidRPr="007368C9">
        <w:rPr>
          <w:rFonts w:ascii="Arial" w:hAnsi="Arial" w:cs="Arial"/>
          <w:sz w:val="24"/>
          <w:szCs w:val="24"/>
        </w:rPr>
        <w:t xml:space="preserve"> conservation-based forest management </w:t>
      </w:r>
      <w:r w:rsidRPr="007368C9">
        <w:rPr>
          <w:rFonts w:ascii="Arial" w:hAnsi="Arial" w:cs="Arial"/>
          <w:sz w:val="24"/>
          <w:szCs w:val="24"/>
        </w:rPr>
        <w:t>projects should model</w:t>
      </w:r>
      <w:r w:rsidR="002A1D04" w:rsidRPr="007368C9">
        <w:rPr>
          <w:rFonts w:ascii="Arial" w:hAnsi="Arial" w:cs="Arial"/>
          <w:sz w:val="24"/>
          <w:szCs w:val="24"/>
        </w:rPr>
        <w:t xml:space="preserve"> </w:t>
      </w:r>
      <w:r w:rsidRPr="007368C9">
        <w:rPr>
          <w:rFonts w:ascii="Arial" w:hAnsi="Arial" w:cs="Arial"/>
          <w:sz w:val="24"/>
          <w:szCs w:val="24"/>
        </w:rPr>
        <w:t>their commencemen</w:t>
      </w:r>
      <w:r w:rsidR="00A7698B" w:rsidRPr="007368C9">
        <w:rPr>
          <w:rFonts w:ascii="Arial" w:hAnsi="Arial" w:cs="Arial"/>
          <w:sz w:val="24"/>
          <w:szCs w:val="24"/>
        </w:rPr>
        <w:t>t date inventories a</w:t>
      </w:r>
      <w:r w:rsidRPr="007368C9">
        <w:rPr>
          <w:rFonts w:ascii="Arial" w:hAnsi="Arial" w:cs="Arial"/>
          <w:sz w:val="24"/>
          <w:szCs w:val="24"/>
        </w:rPr>
        <w:t>ccording t</w:t>
      </w:r>
      <w:r w:rsidR="002A1D04" w:rsidRPr="007368C9">
        <w:rPr>
          <w:rFonts w:ascii="Arial" w:hAnsi="Arial" w:cs="Arial"/>
          <w:sz w:val="24"/>
          <w:szCs w:val="24"/>
        </w:rPr>
        <w:t xml:space="preserve">o the </w:t>
      </w:r>
      <w:r w:rsidR="004A7725" w:rsidRPr="007368C9">
        <w:rPr>
          <w:rFonts w:ascii="Arial" w:hAnsi="Arial" w:cs="Arial"/>
          <w:sz w:val="24"/>
          <w:szCs w:val="24"/>
        </w:rPr>
        <w:t>requirements</w:t>
      </w:r>
      <w:r w:rsidR="002A1D04" w:rsidRPr="007368C9">
        <w:rPr>
          <w:rFonts w:ascii="Arial" w:hAnsi="Arial" w:cs="Arial"/>
          <w:sz w:val="24"/>
          <w:szCs w:val="24"/>
        </w:rPr>
        <w:t xml:space="preserve"> in the </w:t>
      </w:r>
      <w:r w:rsidR="004A7725" w:rsidRPr="007368C9">
        <w:rPr>
          <w:rFonts w:ascii="Arial" w:hAnsi="Arial" w:cs="Arial"/>
          <w:sz w:val="24"/>
          <w:szCs w:val="24"/>
        </w:rPr>
        <w:t>COP</w:t>
      </w:r>
      <w:r w:rsidRPr="007368C9">
        <w:rPr>
          <w:rFonts w:ascii="Arial" w:hAnsi="Arial" w:cs="Arial"/>
          <w:sz w:val="24"/>
          <w:szCs w:val="24"/>
        </w:rPr>
        <w:t xml:space="preserve"> for </w:t>
      </w:r>
      <w:r w:rsidR="004A7725" w:rsidRPr="007368C9">
        <w:rPr>
          <w:rFonts w:ascii="Arial" w:hAnsi="Arial" w:cs="Arial"/>
          <w:sz w:val="24"/>
          <w:szCs w:val="24"/>
        </w:rPr>
        <w:t>IFM</w:t>
      </w:r>
      <w:r w:rsidRPr="007368C9">
        <w:rPr>
          <w:rFonts w:ascii="Arial" w:hAnsi="Arial" w:cs="Arial"/>
          <w:sz w:val="24"/>
          <w:szCs w:val="24"/>
        </w:rPr>
        <w:t xml:space="preserve"> projects.  </w:t>
      </w:r>
      <w:r w:rsidR="004A7725" w:rsidRPr="007368C9">
        <w:rPr>
          <w:rFonts w:ascii="Arial" w:hAnsi="Arial" w:cs="Arial"/>
          <w:sz w:val="24"/>
          <w:szCs w:val="24"/>
        </w:rPr>
        <w:t>CAR</w:t>
      </w:r>
      <w:r w:rsidR="00052D42" w:rsidRPr="007368C9">
        <w:rPr>
          <w:rFonts w:ascii="Arial" w:hAnsi="Arial" w:cs="Arial"/>
          <w:sz w:val="24"/>
          <w:szCs w:val="24"/>
        </w:rPr>
        <w:t xml:space="preserve"> Forest Project Protocol Version 3.x </w:t>
      </w:r>
      <w:r w:rsidR="004A7725" w:rsidRPr="007368C9">
        <w:rPr>
          <w:rFonts w:ascii="Arial" w:hAnsi="Arial" w:cs="Arial"/>
          <w:sz w:val="24"/>
          <w:szCs w:val="24"/>
        </w:rPr>
        <w:t>IFM</w:t>
      </w:r>
      <w:r w:rsidR="00052D42" w:rsidRPr="007368C9">
        <w:rPr>
          <w:rFonts w:ascii="Arial" w:hAnsi="Arial" w:cs="Arial"/>
          <w:sz w:val="24"/>
          <w:szCs w:val="24"/>
        </w:rPr>
        <w:t xml:space="preserve"> projects</w:t>
      </w:r>
      <w:r w:rsidR="00A9271B" w:rsidRPr="007368C9">
        <w:rPr>
          <w:rFonts w:ascii="Arial" w:hAnsi="Arial" w:cs="Arial"/>
          <w:sz w:val="24"/>
          <w:szCs w:val="24"/>
        </w:rPr>
        <w:t xml:space="preserve"> will only have to remodel the project baseline if </w:t>
      </w:r>
      <w:r w:rsidR="004A7725" w:rsidRPr="007368C9">
        <w:rPr>
          <w:rFonts w:ascii="Arial" w:hAnsi="Arial" w:cs="Arial"/>
          <w:sz w:val="24"/>
          <w:szCs w:val="24"/>
        </w:rPr>
        <w:t>applying the COP</w:t>
      </w:r>
      <w:r w:rsidR="00A9271B" w:rsidRPr="007368C9">
        <w:rPr>
          <w:rFonts w:ascii="Arial" w:hAnsi="Arial" w:cs="Arial"/>
          <w:sz w:val="24"/>
          <w:szCs w:val="24"/>
        </w:rPr>
        <w:t xml:space="preserve"> </w:t>
      </w:r>
      <w:r w:rsidR="00052D42" w:rsidRPr="007368C9">
        <w:rPr>
          <w:rFonts w:ascii="Arial" w:hAnsi="Arial" w:cs="Arial"/>
          <w:sz w:val="24"/>
          <w:szCs w:val="24"/>
        </w:rPr>
        <w:t>HSR</w:t>
      </w:r>
      <w:r w:rsidR="00A9271B" w:rsidRPr="007368C9">
        <w:rPr>
          <w:rFonts w:ascii="Arial" w:hAnsi="Arial" w:cs="Arial"/>
          <w:sz w:val="24"/>
          <w:szCs w:val="24"/>
        </w:rPr>
        <w:t xml:space="preserve"> will modify the baseline.  </w:t>
      </w:r>
    </w:p>
    <w:p w:rsidR="00787D96" w:rsidRPr="000F2EF3" w:rsidRDefault="009937B4" w:rsidP="000F2EF3">
      <w:pPr>
        <w:pStyle w:val="Heading2"/>
        <w:numPr>
          <w:ilvl w:val="1"/>
          <w:numId w:val="1"/>
        </w:numPr>
        <w:ind w:left="1080" w:hanging="720"/>
        <w:rPr>
          <w:rFonts w:ascii="Arial" w:hAnsi="Arial" w:cs="Arial"/>
        </w:rPr>
      </w:pPr>
      <w:bookmarkStart w:id="27" w:name="_Toc410056654"/>
      <w:bookmarkStart w:id="28" w:name="_Toc410056655"/>
      <w:bookmarkStart w:id="29" w:name="_Toc410056656"/>
      <w:bookmarkStart w:id="30" w:name="_Toc410056657"/>
      <w:bookmarkStart w:id="31" w:name="_Toc410056658"/>
      <w:bookmarkStart w:id="32" w:name="_Toc410056659"/>
      <w:bookmarkStart w:id="33" w:name="_Toc410056660"/>
      <w:bookmarkStart w:id="34" w:name="_Toc414534278"/>
      <w:bookmarkEnd w:id="27"/>
      <w:bookmarkEnd w:id="28"/>
      <w:bookmarkEnd w:id="29"/>
      <w:bookmarkEnd w:id="30"/>
      <w:bookmarkEnd w:id="31"/>
      <w:bookmarkEnd w:id="32"/>
      <w:bookmarkEnd w:id="33"/>
      <w:r w:rsidRPr="000F2EF3">
        <w:rPr>
          <w:rFonts w:ascii="Arial" w:hAnsi="Arial" w:cs="Arial"/>
        </w:rPr>
        <w:t>Calculate the Credits Eligible under the Protocol</w:t>
      </w:r>
      <w:bookmarkEnd w:id="34"/>
      <w:r w:rsidR="00AE19D9" w:rsidRPr="000F2EF3">
        <w:rPr>
          <w:rFonts w:ascii="Arial" w:hAnsi="Arial" w:cs="Arial"/>
        </w:rPr>
        <w:t xml:space="preserve"> </w:t>
      </w:r>
    </w:p>
    <w:p w:rsidR="00FB60A9" w:rsidRPr="007368C9" w:rsidRDefault="0071308D" w:rsidP="00FB60A9">
      <w:pPr>
        <w:ind w:left="360"/>
        <w:rPr>
          <w:rFonts w:ascii="Arial" w:hAnsi="Arial" w:cs="Arial"/>
          <w:sz w:val="24"/>
          <w:szCs w:val="24"/>
        </w:rPr>
      </w:pPr>
      <w:r>
        <w:rPr>
          <w:rFonts w:ascii="Arial" w:hAnsi="Arial" w:cs="Arial"/>
          <w:sz w:val="24"/>
          <w:szCs w:val="24"/>
        </w:rPr>
        <w:t>This section of the guidance is a</w:t>
      </w:r>
      <w:r w:rsidR="00052D42" w:rsidRPr="007368C9">
        <w:rPr>
          <w:rFonts w:ascii="Arial" w:hAnsi="Arial" w:cs="Arial"/>
          <w:sz w:val="24"/>
          <w:szCs w:val="24"/>
        </w:rPr>
        <w:t xml:space="preserve">pplicable to all </w:t>
      </w:r>
      <w:r w:rsidR="004A7725" w:rsidRPr="007368C9">
        <w:rPr>
          <w:rFonts w:ascii="Arial" w:hAnsi="Arial" w:cs="Arial"/>
          <w:sz w:val="24"/>
          <w:szCs w:val="24"/>
        </w:rPr>
        <w:t>CAR</w:t>
      </w:r>
      <w:r w:rsidR="00052D42" w:rsidRPr="007368C9">
        <w:rPr>
          <w:rFonts w:ascii="Arial" w:hAnsi="Arial" w:cs="Arial"/>
          <w:sz w:val="24"/>
          <w:szCs w:val="24"/>
        </w:rPr>
        <w:t xml:space="preserve"> Forest Project Protocol Version 2.1 Conservation –Based Forest Management projects and </w:t>
      </w:r>
      <w:r w:rsidR="004A7725" w:rsidRPr="007368C9">
        <w:rPr>
          <w:rFonts w:ascii="Arial" w:hAnsi="Arial" w:cs="Arial"/>
          <w:sz w:val="24"/>
          <w:szCs w:val="24"/>
        </w:rPr>
        <w:t>CAR</w:t>
      </w:r>
      <w:r w:rsidR="00052D42" w:rsidRPr="007368C9">
        <w:rPr>
          <w:rFonts w:ascii="Arial" w:hAnsi="Arial" w:cs="Arial"/>
          <w:sz w:val="24"/>
          <w:szCs w:val="24"/>
        </w:rPr>
        <w:t xml:space="preserve"> Forest Project Protocol Version 3.x </w:t>
      </w:r>
      <w:r w:rsidR="004A7725" w:rsidRPr="007368C9">
        <w:rPr>
          <w:rFonts w:ascii="Arial" w:hAnsi="Arial" w:cs="Arial"/>
          <w:sz w:val="24"/>
          <w:szCs w:val="24"/>
        </w:rPr>
        <w:t xml:space="preserve">IFM </w:t>
      </w:r>
      <w:r w:rsidR="00052D42" w:rsidRPr="007368C9">
        <w:rPr>
          <w:rFonts w:ascii="Arial" w:hAnsi="Arial" w:cs="Arial"/>
          <w:sz w:val="24"/>
          <w:szCs w:val="24"/>
        </w:rPr>
        <w:t>projects</w:t>
      </w:r>
      <w:r w:rsidR="00584A60" w:rsidRPr="007368C9">
        <w:rPr>
          <w:rFonts w:ascii="Arial" w:hAnsi="Arial" w:cs="Arial"/>
          <w:sz w:val="24"/>
          <w:szCs w:val="24"/>
        </w:rPr>
        <w:t xml:space="preserve"> that will have a baseline adjustment as </w:t>
      </w:r>
      <w:r w:rsidR="004A7725" w:rsidRPr="007368C9">
        <w:rPr>
          <w:rFonts w:ascii="Arial" w:hAnsi="Arial" w:cs="Arial"/>
          <w:sz w:val="24"/>
          <w:szCs w:val="24"/>
        </w:rPr>
        <w:t>a</w:t>
      </w:r>
      <w:r w:rsidR="00584A60" w:rsidRPr="007368C9">
        <w:rPr>
          <w:rFonts w:ascii="Arial" w:hAnsi="Arial" w:cs="Arial"/>
          <w:sz w:val="24"/>
          <w:szCs w:val="24"/>
        </w:rPr>
        <w:t xml:space="preserve"> result of the </w:t>
      </w:r>
      <w:r w:rsidR="00052D42" w:rsidRPr="007368C9">
        <w:rPr>
          <w:rFonts w:ascii="Arial" w:hAnsi="Arial" w:cs="Arial"/>
          <w:sz w:val="24"/>
          <w:szCs w:val="24"/>
        </w:rPr>
        <w:t>HSR</w:t>
      </w:r>
      <w:r w:rsidR="00787D96" w:rsidRPr="007368C9">
        <w:rPr>
          <w:rFonts w:ascii="Arial" w:hAnsi="Arial" w:cs="Arial"/>
          <w:sz w:val="24"/>
          <w:szCs w:val="24"/>
        </w:rPr>
        <w:t xml:space="preserve"> guidance </w:t>
      </w:r>
      <w:r w:rsidR="001C0D35" w:rsidRPr="007368C9">
        <w:rPr>
          <w:rFonts w:ascii="Arial" w:hAnsi="Arial" w:cs="Arial"/>
          <w:sz w:val="24"/>
          <w:szCs w:val="24"/>
        </w:rPr>
        <w:t>above</w:t>
      </w:r>
      <w:r w:rsidR="004A7725" w:rsidRPr="007368C9">
        <w:rPr>
          <w:rFonts w:ascii="Arial" w:hAnsi="Arial" w:cs="Arial"/>
          <w:sz w:val="24"/>
          <w:szCs w:val="24"/>
        </w:rPr>
        <w:t>.</w:t>
      </w:r>
      <w:r w:rsidR="00FB60A9" w:rsidRPr="00FB60A9">
        <w:rPr>
          <w:rFonts w:ascii="Arial" w:hAnsi="Arial" w:cs="Arial"/>
          <w:sz w:val="24"/>
          <w:szCs w:val="24"/>
        </w:rPr>
        <w:t xml:space="preserve"> </w:t>
      </w:r>
      <w:r>
        <w:rPr>
          <w:rFonts w:ascii="Arial" w:hAnsi="Arial" w:cs="Arial"/>
          <w:sz w:val="24"/>
          <w:szCs w:val="24"/>
        </w:rPr>
        <w:t xml:space="preserve"> </w:t>
      </w:r>
      <w:r w:rsidR="00FB60A9" w:rsidRPr="007368C9">
        <w:rPr>
          <w:rFonts w:ascii="Arial" w:hAnsi="Arial" w:cs="Arial"/>
          <w:sz w:val="24"/>
          <w:szCs w:val="24"/>
        </w:rPr>
        <w:t>Transitioning projects should calculate the number of offset credits for each reporting</w:t>
      </w:r>
      <w:r w:rsidR="00FB60A9">
        <w:rPr>
          <w:rFonts w:ascii="Arial" w:hAnsi="Arial" w:cs="Arial"/>
          <w:sz w:val="24"/>
          <w:szCs w:val="24"/>
        </w:rPr>
        <w:t xml:space="preserve"> </w:t>
      </w:r>
      <w:r w:rsidR="00FB60A9" w:rsidRPr="007368C9">
        <w:rPr>
          <w:rFonts w:ascii="Arial" w:hAnsi="Arial" w:cs="Arial"/>
          <w:sz w:val="24"/>
          <w:szCs w:val="24"/>
        </w:rPr>
        <w:t xml:space="preserve">period they are requesting issuance of ARB offset credits using the COP’s requirements.  This will require the OPO/APD, for each reporting period, to: </w:t>
      </w:r>
    </w:p>
    <w:p w:rsidR="008E2C69" w:rsidRDefault="000C3149" w:rsidP="000F2EF3">
      <w:pPr>
        <w:pStyle w:val="ListParagraph"/>
        <w:numPr>
          <w:ilvl w:val="0"/>
          <w:numId w:val="11"/>
        </w:numPr>
        <w:ind w:left="720"/>
        <w:rPr>
          <w:rFonts w:ascii="Arial" w:hAnsi="Arial" w:cs="Arial"/>
          <w:sz w:val="24"/>
          <w:szCs w:val="24"/>
        </w:rPr>
      </w:pPr>
      <w:r w:rsidRPr="008E2C69">
        <w:rPr>
          <w:rFonts w:ascii="Arial" w:hAnsi="Arial" w:cs="Arial"/>
          <w:sz w:val="24"/>
          <w:szCs w:val="24"/>
        </w:rPr>
        <w:t xml:space="preserve">Include only those carbon pools authorized by the </w:t>
      </w:r>
      <w:r w:rsidR="00052D42" w:rsidRPr="008E2C69">
        <w:rPr>
          <w:rFonts w:ascii="Arial" w:hAnsi="Arial" w:cs="Arial"/>
          <w:sz w:val="24"/>
          <w:szCs w:val="24"/>
        </w:rPr>
        <w:t>COP</w:t>
      </w:r>
      <w:r w:rsidRPr="008E2C69">
        <w:rPr>
          <w:rFonts w:ascii="Arial" w:hAnsi="Arial" w:cs="Arial"/>
          <w:sz w:val="24"/>
          <w:szCs w:val="24"/>
        </w:rPr>
        <w:t>.</w:t>
      </w:r>
    </w:p>
    <w:p w:rsidR="008E2C69" w:rsidRDefault="009937B4" w:rsidP="000F2EF3">
      <w:pPr>
        <w:pStyle w:val="ListParagraph"/>
        <w:numPr>
          <w:ilvl w:val="0"/>
          <w:numId w:val="11"/>
        </w:numPr>
        <w:ind w:left="720"/>
        <w:rPr>
          <w:rFonts w:ascii="Arial" w:hAnsi="Arial" w:cs="Arial"/>
          <w:sz w:val="24"/>
          <w:szCs w:val="24"/>
        </w:rPr>
      </w:pPr>
      <w:r w:rsidRPr="008E2C69">
        <w:rPr>
          <w:rFonts w:ascii="Arial" w:hAnsi="Arial" w:cs="Arial"/>
          <w:sz w:val="24"/>
          <w:szCs w:val="24"/>
        </w:rPr>
        <w:t>Account for harvested wood products in both the baseline and project activity.</w:t>
      </w:r>
    </w:p>
    <w:p w:rsidR="008E2C69" w:rsidRDefault="009937B4" w:rsidP="000F2EF3">
      <w:pPr>
        <w:pStyle w:val="ListParagraph"/>
        <w:numPr>
          <w:ilvl w:val="0"/>
          <w:numId w:val="11"/>
        </w:numPr>
        <w:ind w:left="720"/>
        <w:rPr>
          <w:rFonts w:ascii="Arial" w:hAnsi="Arial" w:cs="Arial"/>
          <w:sz w:val="24"/>
          <w:szCs w:val="24"/>
        </w:rPr>
      </w:pPr>
      <w:r w:rsidRPr="008E2C69">
        <w:rPr>
          <w:rFonts w:ascii="Arial" w:hAnsi="Arial" w:cs="Arial"/>
          <w:sz w:val="24"/>
          <w:szCs w:val="24"/>
        </w:rPr>
        <w:t>Adjust the current inventory for any confidence deductions.</w:t>
      </w:r>
    </w:p>
    <w:p w:rsidR="008E2C69" w:rsidRDefault="009937B4" w:rsidP="000F2EF3">
      <w:pPr>
        <w:pStyle w:val="ListParagraph"/>
        <w:numPr>
          <w:ilvl w:val="0"/>
          <w:numId w:val="11"/>
        </w:numPr>
        <w:ind w:left="720"/>
        <w:rPr>
          <w:rFonts w:ascii="Arial" w:hAnsi="Arial" w:cs="Arial"/>
          <w:sz w:val="24"/>
          <w:szCs w:val="24"/>
        </w:rPr>
      </w:pPr>
      <w:r w:rsidRPr="008E2C69">
        <w:rPr>
          <w:rFonts w:ascii="Arial" w:hAnsi="Arial" w:cs="Arial"/>
          <w:sz w:val="24"/>
          <w:szCs w:val="24"/>
        </w:rPr>
        <w:t>Account for required leakage deductions.</w:t>
      </w:r>
    </w:p>
    <w:p w:rsidR="005719C8" w:rsidRPr="008E2C69" w:rsidRDefault="00BC469E" w:rsidP="000F2EF3">
      <w:pPr>
        <w:pStyle w:val="ListParagraph"/>
        <w:numPr>
          <w:ilvl w:val="0"/>
          <w:numId w:val="11"/>
        </w:numPr>
        <w:ind w:left="720"/>
        <w:rPr>
          <w:rFonts w:ascii="Arial" w:hAnsi="Arial" w:cs="Arial"/>
          <w:sz w:val="24"/>
          <w:szCs w:val="24"/>
        </w:rPr>
      </w:pPr>
      <w:r>
        <w:rPr>
          <w:rFonts w:ascii="Arial" w:hAnsi="Arial" w:cs="Arial"/>
          <w:sz w:val="24"/>
          <w:szCs w:val="24"/>
        </w:rPr>
        <w:t>Account for</w:t>
      </w:r>
      <w:r w:rsidR="003F1C4F" w:rsidRPr="008E2C69">
        <w:rPr>
          <w:rFonts w:ascii="Arial" w:hAnsi="Arial" w:cs="Arial"/>
          <w:sz w:val="24"/>
          <w:szCs w:val="24"/>
        </w:rPr>
        <w:t xml:space="preserve"> required buffer pool contributions.</w:t>
      </w:r>
    </w:p>
    <w:p w:rsidR="005719C8" w:rsidRPr="007368C9" w:rsidRDefault="005719C8" w:rsidP="000F2EF3">
      <w:pPr>
        <w:ind w:left="360"/>
        <w:rPr>
          <w:rFonts w:ascii="Arial" w:hAnsi="Arial" w:cs="Arial"/>
          <w:sz w:val="24"/>
          <w:szCs w:val="24"/>
        </w:rPr>
      </w:pPr>
      <w:r w:rsidRPr="007368C9">
        <w:rPr>
          <w:rFonts w:ascii="Arial" w:hAnsi="Arial" w:cs="Arial"/>
          <w:sz w:val="24"/>
          <w:szCs w:val="24"/>
        </w:rPr>
        <w:t xml:space="preserve">Transitioning projects that have been issued fewer </w:t>
      </w:r>
      <w:r w:rsidR="00D57439" w:rsidRPr="007368C9">
        <w:rPr>
          <w:rFonts w:ascii="Arial" w:hAnsi="Arial" w:cs="Arial"/>
          <w:sz w:val="24"/>
          <w:szCs w:val="24"/>
        </w:rPr>
        <w:t xml:space="preserve">early action offset </w:t>
      </w:r>
      <w:r w:rsidRPr="007368C9">
        <w:rPr>
          <w:rFonts w:ascii="Arial" w:hAnsi="Arial" w:cs="Arial"/>
          <w:sz w:val="24"/>
          <w:szCs w:val="24"/>
        </w:rPr>
        <w:t>credits tha</w:t>
      </w:r>
      <w:r w:rsidR="00AE19D9" w:rsidRPr="007368C9">
        <w:rPr>
          <w:rFonts w:ascii="Arial" w:hAnsi="Arial" w:cs="Arial"/>
          <w:sz w:val="24"/>
          <w:szCs w:val="24"/>
        </w:rPr>
        <w:t>n</w:t>
      </w:r>
      <w:r w:rsidRPr="007368C9">
        <w:rPr>
          <w:rFonts w:ascii="Arial" w:hAnsi="Arial" w:cs="Arial"/>
          <w:sz w:val="24"/>
          <w:szCs w:val="24"/>
        </w:rPr>
        <w:t xml:space="preserve"> would have been issued under the </w:t>
      </w:r>
      <w:r w:rsidR="00052D42" w:rsidRPr="007368C9">
        <w:rPr>
          <w:rFonts w:ascii="Arial" w:hAnsi="Arial" w:cs="Arial"/>
          <w:sz w:val="24"/>
          <w:szCs w:val="24"/>
        </w:rPr>
        <w:t>COP</w:t>
      </w:r>
      <w:r w:rsidRPr="007368C9">
        <w:rPr>
          <w:rFonts w:ascii="Arial" w:hAnsi="Arial" w:cs="Arial"/>
          <w:sz w:val="24"/>
          <w:szCs w:val="24"/>
        </w:rPr>
        <w:t xml:space="preserve"> will be issued the balance</w:t>
      </w:r>
      <w:r w:rsidR="00D57439" w:rsidRPr="007368C9">
        <w:rPr>
          <w:rFonts w:ascii="Arial" w:hAnsi="Arial" w:cs="Arial"/>
          <w:sz w:val="24"/>
          <w:szCs w:val="24"/>
        </w:rPr>
        <w:t xml:space="preserve">, accounting for any ARB Forest Buffer Pool contribution required by the COP, </w:t>
      </w:r>
      <w:r w:rsidRPr="007368C9">
        <w:rPr>
          <w:rFonts w:ascii="Arial" w:hAnsi="Arial" w:cs="Arial"/>
          <w:sz w:val="24"/>
          <w:szCs w:val="24"/>
        </w:rPr>
        <w:t xml:space="preserve">upon a </w:t>
      </w:r>
      <w:r w:rsidR="004A7725" w:rsidRPr="007368C9">
        <w:rPr>
          <w:rFonts w:ascii="Arial" w:hAnsi="Arial" w:cs="Arial"/>
          <w:sz w:val="24"/>
          <w:szCs w:val="24"/>
        </w:rPr>
        <w:t>receipt of a positive Offset Verification S</w:t>
      </w:r>
      <w:r w:rsidR="0091085F" w:rsidRPr="007368C9">
        <w:rPr>
          <w:rFonts w:ascii="Arial" w:hAnsi="Arial" w:cs="Arial"/>
          <w:sz w:val="24"/>
          <w:szCs w:val="24"/>
        </w:rPr>
        <w:t>tatement</w:t>
      </w:r>
      <w:r w:rsidR="004A7725" w:rsidRPr="007368C9">
        <w:rPr>
          <w:rFonts w:ascii="Arial" w:hAnsi="Arial" w:cs="Arial"/>
          <w:sz w:val="24"/>
          <w:szCs w:val="24"/>
        </w:rPr>
        <w:t xml:space="preserve"> (OVS) for</w:t>
      </w:r>
      <w:r w:rsidR="0091085F" w:rsidRPr="007368C9">
        <w:rPr>
          <w:rFonts w:ascii="Arial" w:hAnsi="Arial" w:cs="Arial"/>
          <w:sz w:val="24"/>
          <w:szCs w:val="24"/>
        </w:rPr>
        <w:t xml:space="preserve"> the initial </w:t>
      </w:r>
      <w:r w:rsidR="00D57439" w:rsidRPr="007368C9">
        <w:rPr>
          <w:rFonts w:ascii="Arial" w:hAnsi="Arial" w:cs="Arial"/>
          <w:sz w:val="24"/>
          <w:szCs w:val="24"/>
        </w:rPr>
        <w:t>OPDR</w:t>
      </w:r>
      <w:r w:rsidR="0071308D">
        <w:rPr>
          <w:rFonts w:ascii="Arial" w:hAnsi="Arial" w:cs="Arial"/>
          <w:sz w:val="24"/>
          <w:szCs w:val="24"/>
        </w:rPr>
        <w:t>.</w:t>
      </w:r>
      <w:r w:rsidR="00806521">
        <w:rPr>
          <w:rStyle w:val="FootnoteReference"/>
          <w:rFonts w:ascii="Arial" w:hAnsi="Arial" w:cs="Arial"/>
          <w:sz w:val="24"/>
          <w:szCs w:val="24"/>
        </w:rPr>
        <w:footnoteReference w:id="10"/>
      </w:r>
      <w:r w:rsidR="00806521">
        <w:rPr>
          <w:rFonts w:ascii="Arial" w:hAnsi="Arial" w:cs="Arial"/>
          <w:sz w:val="24"/>
          <w:szCs w:val="24"/>
        </w:rPr>
        <w:t xml:space="preserve">  </w:t>
      </w:r>
      <w:r w:rsidR="004A7725" w:rsidRPr="007368C9">
        <w:rPr>
          <w:rFonts w:ascii="Arial" w:hAnsi="Arial" w:cs="Arial"/>
          <w:sz w:val="24"/>
          <w:szCs w:val="24"/>
        </w:rPr>
        <w:t>Following the transition date, future i</w:t>
      </w:r>
      <w:r w:rsidRPr="007368C9">
        <w:rPr>
          <w:rFonts w:ascii="Arial" w:hAnsi="Arial" w:cs="Arial"/>
          <w:sz w:val="24"/>
          <w:szCs w:val="24"/>
        </w:rPr>
        <w:t xml:space="preserve">ncreases in project inventory (growth) are credited </w:t>
      </w:r>
      <w:r w:rsidR="00052D42" w:rsidRPr="007368C9">
        <w:rPr>
          <w:rFonts w:ascii="Arial" w:hAnsi="Arial" w:cs="Arial"/>
          <w:sz w:val="24"/>
          <w:szCs w:val="24"/>
        </w:rPr>
        <w:t>according to the COP</w:t>
      </w:r>
      <w:r w:rsidR="0071308D">
        <w:rPr>
          <w:rFonts w:ascii="Arial" w:hAnsi="Arial" w:cs="Arial"/>
          <w:sz w:val="24"/>
          <w:szCs w:val="24"/>
        </w:rPr>
        <w:t>.</w:t>
      </w:r>
      <w:r w:rsidR="00806521">
        <w:rPr>
          <w:rStyle w:val="FootnoteReference"/>
          <w:rFonts w:ascii="Arial" w:hAnsi="Arial" w:cs="Arial"/>
          <w:sz w:val="24"/>
          <w:szCs w:val="24"/>
        </w:rPr>
        <w:footnoteReference w:id="11"/>
      </w:r>
      <w:r w:rsidR="00200797">
        <w:rPr>
          <w:rFonts w:ascii="Arial" w:hAnsi="Arial" w:cs="Arial"/>
          <w:sz w:val="24"/>
          <w:szCs w:val="24"/>
        </w:rPr>
        <w:t xml:space="preserve">  </w:t>
      </w:r>
      <w:r w:rsidRPr="007368C9">
        <w:rPr>
          <w:rFonts w:ascii="Arial" w:hAnsi="Arial" w:cs="Arial"/>
          <w:sz w:val="24"/>
          <w:szCs w:val="24"/>
        </w:rPr>
        <w:t xml:space="preserve">Table </w:t>
      </w:r>
      <w:r w:rsidR="0050539A" w:rsidRPr="007368C9">
        <w:rPr>
          <w:rFonts w:ascii="Arial" w:hAnsi="Arial" w:cs="Arial"/>
          <w:sz w:val="24"/>
          <w:szCs w:val="24"/>
        </w:rPr>
        <w:t>2</w:t>
      </w:r>
      <w:r w:rsidRPr="007368C9">
        <w:rPr>
          <w:rFonts w:ascii="Arial" w:hAnsi="Arial" w:cs="Arial"/>
          <w:sz w:val="24"/>
          <w:szCs w:val="24"/>
        </w:rPr>
        <w:t xml:space="preserve"> displays an example of reconciling </w:t>
      </w:r>
      <w:r w:rsidR="00584A60" w:rsidRPr="007368C9">
        <w:rPr>
          <w:rFonts w:ascii="Arial" w:hAnsi="Arial" w:cs="Arial"/>
          <w:sz w:val="24"/>
          <w:szCs w:val="24"/>
        </w:rPr>
        <w:t>early action</w:t>
      </w:r>
      <w:r w:rsidRPr="007368C9">
        <w:rPr>
          <w:rFonts w:ascii="Arial" w:hAnsi="Arial" w:cs="Arial"/>
          <w:sz w:val="24"/>
          <w:szCs w:val="24"/>
        </w:rPr>
        <w:t xml:space="preserve"> </w:t>
      </w:r>
      <w:r w:rsidR="00BC469E">
        <w:rPr>
          <w:rFonts w:ascii="Arial" w:hAnsi="Arial" w:cs="Arial"/>
          <w:sz w:val="24"/>
          <w:szCs w:val="24"/>
        </w:rPr>
        <w:t xml:space="preserve">offset </w:t>
      </w:r>
      <w:r w:rsidRPr="007368C9">
        <w:rPr>
          <w:rFonts w:ascii="Arial" w:hAnsi="Arial" w:cs="Arial"/>
          <w:sz w:val="24"/>
          <w:szCs w:val="24"/>
        </w:rPr>
        <w:t xml:space="preserve">projects in </w:t>
      </w:r>
      <w:r w:rsidR="004A7725" w:rsidRPr="007368C9">
        <w:rPr>
          <w:rFonts w:ascii="Arial" w:hAnsi="Arial" w:cs="Arial"/>
          <w:sz w:val="24"/>
          <w:szCs w:val="24"/>
        </w:rPr>
        <w:t>situations</w:t>
      </w:r>
      <w:r w:rsidRPr="007368C9">
        <w:rPr>
          <w:rFonts w:ascii="Arial" w:hAnsi="Arial" w:cs="Arial"/>
          <w:sz w:val="24"/>
          <w:szCs w:val="24"/>
        </w:rPr>
        <w:t xml:space="preserve"> where </w:t>
      </w:r>
      <w:r w:rsidR="004A7725" w:rsidRPr="007368C9">
        <w:rPr>
          <w:rFonts w:ascii="Arial" w:hAnsi="Arial" w:cs="Arial"/>
          <w:sz w:val="24"/>
          <w:szCs w:val="24"/>
        </w:rPr>
        <w:t>quantification</w:t>
      </w:r>
      <w:r w:rsidR="00D57439" w:rsidRPr="007368C9">
        <w:rPr>
          <w:rFonts w:ascii="Arial" w:hAnsi="Arial" w:cs="Arial"/>
          <w:sz w:val="24"/>
          <w:szCs w:val="24"/>
        </w:rPr>
        <w:t xml:space="preserve"> using</w:t>
      </w:r>
      <w:r w:rsidRPr="007368C9">
        <w:rPr>
          <w:rFonts w:ascii="Arial" w:hAnsi="Arial" w:cs="Arial"/>
          <w:sz w:val="24"/>
          <w:szCs w:val="24"/>
        </w:rPr>
        <w:t xml:space="preserve"> the </w:t>
      </w:r>
      <w:r w:rsidR="00052D42" w:rsidRPr="007368C9">
        <w:rPr>
          <w:rFonts w:ascii="Arial" w:hAnsi="Arial" w:cs="Arial"/>
          <w:sz w:val="24"/>
          <w:szCs w:val="24"/>
        </w:rPr>
        <w:t>COP</w:t>
      </w:r>
      <w:r w:rsidRPr="007368C9">
        <w:rPr>
          <w:rFonts w:ascii="Arial" w:hAnsi="Arial" w:cs="Arial"/>
          <w:sz w:val="24"/>
          <w:szCs w:val="24"/>
        </w:rPr>
        <w:t xml:space="preserve"> would yield more credits than </w:t>
      </w:r>
      <w:r w:rsidR="0071308D">
        <w:rPr>
          <w:rFonts w:ascii="Arial" w:hAnsi="Arial" w:cs="Arial"/>
          <w:sz w:val="24"/>
          <w:szCs w:val="24"/>
        </w:rPr>
        <w:t xml:space="preserve">were </w:t>
      </w:r>
      <w:r w:rsidR="00D57439" w:rsidRPr="007368C9">
        <w:rPr>
          <w:rFonts w:ascii="Arial" w:hAnsi="Arial" w:cs="Arial"/>
          <w:sz w:val="24"/>
          <w:szCs w:val="24"/>
        </w:rPr>
        <w:t>issued</w:t>
      </w:r>
      <w:r w:rsidRPr="007368C9">
        <w:rPr>
          <w:rFonts w:ascii="Arial" w:hAnsi="Arial" w:cs="Arial"/>
          <w:sz w:val="24"/>
          <w:szCs w:val="24"/>
        </w:rPr>
        <w:t xml:space="preserve"> under the </w:t>
      </w:r>
      <w:r w:rsidR="00584A60" w:rsidRPr="007368C9">
        <w:rPr>
          <w:rFonts w:ascii="Arial" w:hAnsi="Arial" w:cs="Arial"/>
          <w:sz w:val="24"/>
          <w:szCs w:val="24"/>
        </w:rPr>
        <w:t>early action</w:t>
      </w:r>
      <w:r w:rsidRPr="007368C9">
        <w:rPr>
          <w:rFonts w:ascii="Arial" w:hAnsi="Arial" w:cs="Arial"/>
          <w:sz w:val="24"/>
          <w:szCs w:val="24"/>
        </w:rPr>
        <w:t xml:space="preserve"> </w:t>
      </w:r>
      <w:r w:rsidR="004A7725" w:rsidRPr="007368C9">
        <w:rPr>
          <w:rFonts w:ascii="Arial" w:hAnsi="Arial" w:cs="Arial"/>
          <w:sz w:val="24"/>
          <w:szCs w:val="24"/>
        </w:rPr>
        <w:t xml:space="preserve">offset </w:t>
      </w:r>
      <w:r w:rsidRPr="007368C9">
        <w:rPr>
          <w:rFonts w:ascii="Arial" w:hAnsi="Arial" w:cs="Arial"/>
          <w:sz w:val="24"/>
          <w:szCs w:val="24"/>
        </w:rPr>
        <w:t>protocol.</w:t>
      </w:r>
    </w:p>
    <w:p w:rsidR="008E2C69" w:rsidRPr="00C5699F" w:rsidRDefault="005719C8" w:rsidP="008551F7">
      <w:pPr>
        <w:keepNext/>
        <w:ind w:left="360"/>
        <w:rPr>
          <w:rFonts w:ascii="Arial" w:hAnsi="Arial" w:cs="Arial"/>
          <w:sz w:val="24"/>
          <w:szCs w:val="24"/>
        </w:rPr>
      </w:pPr>
      <w:r w:rsidRPr="00E94ECE">
        <w:rPr>
          <w:rFonts w:ascii="Arial" w:hAnsi="Arial" w:cs="Arial"/>
          <w:b/>
          <w:sz w:val="24"/>
          <w:szCs w:val="24"/>
        </w:rPr>
        <w:t xml:space="preserve">Table </w:t>
      </w:r>
      <w:r w:rsidR="0050539A" w:rsidRPr="00E94ECE">
        <w:rPr>
          <w:rFonts w:ascii="Arial" w:hAnsi="Arial" w:cs="Arial"/>
          <w:b/>
          <w:sz w:val="24"/>
          <w:szCs w:val="24"/>
        </w:rPr>
        <w:t>2</w:t>
      </w:r>
      <w:r w:rsidRPr="00E94ECE">
        <w:rPr>
          <w:rFonts w:ascii="Arial" w:hAnsi="Arial" w:cs="Arial"/>
          <w:b/>
          <w:sz w:val="24"/>
          <w:szCs w:val="24"/>
        </w:rPr>
        <w:t xml:space="preserve">.  </w:t>
      </w:r>
      <w:r w:rsidRPr="00C5699F">
        <w:rPr>
          <w:rFonts w:ascii="Arial" w:hAnsi="Arial" w:cs="Arial"/>
          <w:sz w:val="24"/>
          <w:szCs w:val="24"/>
        </w:rPr>
        <w:t xml:space="preserve">Reconciling </w:t>
      </w:r>
      <w:r w:rsidR="00CA3FE7">
        <w:rPr>
          <w:rFonts w:ascii="Arial" w:hAnsi="Arial" w:cs="Arial"/>
          <w:sz w:val="24"/>
          <w:szCs w:val="24"/>
        </w:rPr>
        <w:t>positive credit differences</w:t>
      </w:r>
      <w:r w:rsidR="00D57439" w:rsidRPr="00C5699F">
        <w:rPr>
          <w:rFonts w:ascii="Arial" w:hAnsi="Arial" w:cs="Arial"/>
          <w:sz w:val="24"/>
          <w:szCs w:val="24"/>
        </w:rPr>
        <w:t xml:space="preserve"> by</w:t>
      </w:r>
      <w:r w:rsidRPr="00C5699F">
        <w:rPr>
          <w:rFonts w:ascii="Arial" w:hAnsi="Arial" w:cs="Arial"/>
          <w:sz w:val="24"/>
          <w:szCs w:val="24"/>
        </w:rPr>
        <w:t xml:space="preserve"> </w:t>
      </w:r>
      <w:r w:rsidR="00584A60" w:rsidRPr="00C5699F">
        <w:rPr>
          <w:rFonts w:ascii="Arial" w:hAnsi="Arial" w:cs="Arial"/>
          <w:sz w:val="24"/>
          <w:szCs w:val="24"/>
        </w:rPr>
        <w:t>early action</w:t>
      </w:r>
      <w:r w:rsidRPr="00C5699F">
        <w:rPr>
          <w:rFonts w:ascii="Arial" w:hAnsi="Arial" w:cs="Arial"/>
          <w:sz w:val="24"/>
          <w:szCs w:val="24"/>
        </w:rPr>
        <w:t xml:space="preserve"> </w:t>
      </w:r>
      <w:r w:rsidR="004A7725" w:rsidRPr="00C5699F">
        <w:rPr>
          <w:rFonts w:ascii="Arial" w:hAnsi="Arial" w:cs="Arial"/>
          <w:sz w:val="24"/>
          <w:szCs w:val="24"/>
        </w:rPr>
        <w:t xml:space="preserve">offset </w:t>
      </w:r>
      <w:r w:rsidR="00D57439" w:rsidRPr="00C5699F">
        <w:rPr>
          <w:rFonts w:ascii="Arial" w:hAnsi="Arial" w:cs="Arial"/>
          <w:sz w:val="24"/>
          <w:szCs w:val="24"/>
        </w:rPr>
        <w:t>protocols</w:t>
      </w:r>
      <w:r w:rsidRPr="00C5699F">
        <w:rPr>
          <w:rFonts w:ascii="Arial" w:hAnsi="Arial" w:cs="Arial"/>
          <w:sz w:val="24"/>
          <w:szCs w:val="24"/>
        </w:rPr>
        <w:t>.</w:t>
      </w:r>
    </w:p>
    <w:tbl>
      <w:tblPr>
        <w:tblW w:w="8425" w:type="dxa"/>
        <w:tblLook w:val="04A0" w:firstRow="1" w:lastRow="0" w:firstColumn="1" w:lastColumn="0" w:noHBand="0" w:noVBand="1"/>
      </w:tblPr>
      <w:tblGrid>
        <w:gridCol w:w="3096"/>
        <w:gridCol w:w="902"/>
        <w:gridCol w:w="857"/>
        <w:gridCol w:w="857"/>
        <w:gridCol w:w="857"/>
        <w:gridCol w:w="857"/>
        <w:gridCol w:w="857"/>
        <w:gridCol w:w="941"/>
      </w:tblGrid>
      <w:tr w:rsidR="00A12CF3" w:rsidRPr="00A12CF3" w:rsidTr="007B525D">
        <w:trPr>
          <w:trHeight w:val="224"/>
        </w:trPr>
        <w:tc>
          <w:tcPr>
            <w:tcW w:w="309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12CF3" w:rsidRPr="00A12CF3" w:rsidRDefault="00A12CF3" w:rsidP="00A12CF3">
            <w:pPr>
              <w:spacing w:after="0" w:line="240" w:lineRule="auto"/>
              <w:jc w:val="center"/>
              <w:rPr>
                <w:rFonts w:ascii="Calibri" w:eastAsia="Times New Roman" w:hAnsi="Calibri" w:cs="Times New Roman"/>
                <w:color w:val="000000"/>
              </w:rPr>
            </w:pPr>
            <w:r w:rsidRPr="00A12CF3">
              <w:rPr>
                <w:rFonts w:ascii="Calibri" w:eastAsia="Times New Roman" w:hAnsi="Calibri" w:cs="Times New Roman"/>
                <w:color w:val="000000"/>
              </w:rPr>
              <w:t>Credit Reconciliation</w:t>
            </w:r>
          </w:p>
        </w:tc>
        <w:tc>
          <w:tcPr>
            <w:tcW w:w="5329" w:type="dxa"/>
            <w:gridSpan w:val="7"/>
            <w:tcBorders>
              <w:top w:val="single" w:sz="8" w:space="0" w:color="auto"/>
              <w:left w:val="nil"/>
              <w:bottom w:val="single" w:sz="4" w:space="0" w:color="auto"/>
              <w:right w:val="single" w:sz="8" w:space="0" w:color="000000"/>
            </w:tcBorders>
            <w:shd w:val="clear" w:color="auto" w:fill="auto"/>
            <w:noWrap/>
            <w:vAlign w:val="bottom"/>
            <w:hideMark/>
          </w:tcPr>
          <w:p w:rsidR="00A12CF3" w:rsidRPr="00A12CF3" w:rsidRDefault="00A12CF3" w:rsidP="00A12CF3">
            <w:pPr>
              <w:spacing w:after="0" w:line="240" w:lineRule="auto"/>
              <w:jc w:val="center"/>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Timeframe</w:t>
            </w:r>
          </w:p>
        </w:tc>
      </w:tr>
      <w:tr w:rsidR="00A12CF3" w:rsidRPr="00A12CF3" w:rsidTr="007B525D">
        <w:trPr>
          <w:trHeight w:val="224"/>
        </w:trPr>
        <w:tc>
          <w:tcPr>
            <w:tcW w:w="3096" w:type="dxa"/>
            <w:vMerge/>
            <w:tcBorders>
              <w:top w:val="single" w:sz="8" w:space="0" w:color="auto"/>
              <w:left w:val="single" w:sz="8" w:space="0" w:color="auto"/>
              <w:bottom w:val="single" w:sz="4" w:space="0" w:color="auto"/>
              <w:right w:val="single" w:sz="4" w:space="0" w:color="auto"/>
            </w:tcBorders>
            <w:vAlign w:val="center"/>
            <w:hideMark/>
          </w:tcPr>
          <w:p w:rsidR="00A12CF3" w:rsidRPr="00A12CF3" w:rsidRDefault="00A12CF3" w:rsidP="00A12CF3">
            <w:pPr>
              <w:spacing w:after="0" w:line="240" w:lineRule="auto"/>
              <w:rPr>
                <w:rFonts w:ascii="Calibri" w:eastAsia="Times New Roman" w:hAnsi="Calibri" w:cs="Times New Roman"/>
                <w:color w:val="000000"/>
              </w:rPr>
            </w:pPr>
          </w:p>
        </w:tc>
        <w:tc>
          <w:tcPr>
            <w:tcW w:w="4388" w:type="dxa"/>
            <w:gridSpan w:val="6"/>
            <w:tcBorders>
              <w:top w:val="single" w:sz="4" w:space="0" w:color="auto"/>
              <w:left w:val="nil"/>
              <w:bottom w:val="single" w:sz="4" w:space="0" w:color="auto"/>
              <w:right w:val="nil"/>
            </w:tcBorders>
            <w:shd w:val="clear" w:color="auto" w:fill="auto"/>
            <w:noWrap/>
            <w:vAlign w:val="center"/>
            <w:hideMark/>
          </w:tcPr>
          <w:p w:rsidR="00A12CF3" w:rsidRPr="00A12CF3" w:rsidRDefault="00A12CF3" w:rsidP="00A12CF3">
            <w:pPr>
              <w:spacing w:after="0" w:line="240" w:lineRule="auto"/>
              <w:jc w:val="center"/>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Early Action Credits</w:t>
            </w:r>
          </w:p>
        </w:tc>
        <w:tc>
          <w:tcPr>
            <w:tcW w:w="941" w:type="dxa"/>
            <w:tcBorders>
              <w:top w:val="nil"/>
              <w:left w:val="nil"/>
              <w:bottom w:val="single" w:sz="4" w:space="0" w:color="auto"/>
              <w:right w:val="single" w:sz="8" w:space="0" w:color="auto"/>
            </w:tcBorders>
            <w:shd w:val="clear" w:color="000000" w:fill="FFFFFF"/>
            <w:noWrap/>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Transition  </w:t>
            </w:r>
          </w:p>
        </w:tc>
      </w:tr>
      <w:tr w:rsidR="00817055" w:rsidRPr="00A12CF3" w:rsidTr="00817055">
        <w:trPr>
          <w:trHeight w:val="224"/>
        </w:trPr>
        <w:tc>
          <w:tcPr>
            <w:tcW w:w="3096" w:type="dxa"/>
            <w:vMerge/>
            <w:tcBorders>
              <w:top w:val="single" w:sz="8" w:space="0" w:color="auto"/>
              <w:left w:val="single" w:sz="8" w:space="0" w:color="auto"/>
              <w:bottom w:val="single" w:sz="4" w:space="0" w:color="auto"/>
              <w:right w:val="single" w:sz="4" w:space="0" w:color="auto"/>
            </w:tcBorders>
            <w:vAlign w:val="center"/>
            <w:hideMark/>
          </w:tcPr>
          <w:p w:rsidR="00817055" w:rsidRPr="00A12CF3" w:rsidRDefault="00817055" w:rsidP="00A12CF3">
            <w:pPr>
              <w:spacing w:after="0" w:line="240" w:lineRule="auto"/>
              <w:rPr>
                <w:rFonts w:ascii="Calibri" w:eastAsia="Times New Roman" w:hAnsi="Calibri" w:cs="Times New Roman"/>
                <w:color w:val="000000"/>
              </w:rPr>
            </w:pPr>
          </w:p>
        </w:tc>
        <w:tc>
          <w:tcPr>
            <w:tcW w:w="902" w:type="dxa"/>
            <w:tcBorders>
              <w:top w:val="nil"/>
              <w:left w:val="nil"/>
              <w:bottom w:val="nil"/>
              <w:right w:val="nil"/>
            </w:tcBorders>
            <w:shd w:val="clear" w:color="auto" w:fill="auto"/>
            <w:noWrap/>
            <w:vAlign w:val="center"/>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Reporting Period</w:t>
            </w:r>
            <w:r w:rsidRPr="00A12CF3">
              <w:rPr>
                <w:rFonts w:ascii="Calibri" w:eastAsia="Times New Roman" w:hAnsi="Calibri" w:cs="Times New Roman"/>
                <w:color w:val="000000"/>
                <w:sz w:val="16"/>
                <w:szCs w:val="16"/>
              </w:rPr>
              <w:t xml:space="preserve"> 1</w:t>
            </w:r>
          </w:p>
        </w:tc>
        <w:tc>
          <w:tcPr>
            <w:tcW w:w="688" w:type="dxa"/>
            <w:tcBorders>
              <w:top w:val="nil"/>
              <w:left w:val="single" w:sz="4" w:space="0" w:color="auto"/>
              <w:bottom w:val="single" w:sz="4" w:space="0" w:color="auto"/>
              <w:right w:val="single" w:sz="4" w:space="0" w:color="auto"/>
            </w:tcBorders>
            <w:shd w:val="clear" w:color="auto" w:fill="auto"/>
            <w:noWrap/>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6A0C50">
              <w:rPr>
                <w:rFonts w:ascii="Calibri" w:eastAsia="Times New Roman" w:hAnsi="Calibri" w:cs="Times New Roman"/>
                <w:color w:val="000000"/>
                <w:sz w:val="16"/>
                <w:szCs w:val="16"/>
              </w:rPr>
              <w:t>Reporting Period</w:t>
            </w:r>
            <w:r>
              <w:rPr>
                <w:rFonts w:ascii="Calibri" w:eastAsia="Times New Roman" w:hAnsi="Calibri" w:cs="Times New Roman"/>
                <w:color w:val="000000"/>
                <w:sz w:val="16"/>
                <w:szCs w:val="16"/>
              </w:rPr>
              <w:t xml:space="preserve"> 2</w:t>
            </w:r>
          </w:p>
        </w:tc>
        <w:tc>
          <w:tcPr>
            <w:tcW w:w="688" w:type="dxa"/>
            <w:tcBorders>
              <w:top w:val="nil"/>
              <w:left w:val="nil"/>
              <w:bottom w:val="single" w:sz="4" w:space="0" w:color="auto"/>
              <w:right w:val="single" w:sz="4" w:space="0" w:color="auto"/>
            </w:tcBorders>
            <w:shd w:val="clear" w:color="auto" w:fill="auto"/>
            <w:noWrap/>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6A0C50">
              <w:rPr>
                <w:rFonts w:ascii="Calibri" w:eastAsia="Times New Roman" w:hAnsi="Calibri" w:cs="Times New Roman"/>
                <w:color w:val="000000"/>
                <w:sz w:val="16"/>
                <w:szCs w:val="16"/>
              </w:rPr>
              <w:t>Reporting Period</w:t>
            </w:r>
            <w:r>
              <w:rPr>
                <w:rFonts w:ascii="Calibri" w:eastAsia="Times New Roman" w:hAnsi="Calibri" w:cs="Times New Roman"/>
                <w:color w:val="000000"/>
                <w:sz w:val="16"/>
                <w:szCs w:val="16"/>
              </w:rPr>
              <w:t xml:space="preserve"> 3</w:t>
            </w:r>
          </w:p>
        </w:tc>
        <w:tc>
          <w:tcPr>
            <w:tcW w:w="688" w:type="dxa"/>
            <w:tcBorders>
              <w:top w:val="nil"/>
              <w:left w:val="nil"/>
              <w:bottom w:val="single" w:sz="4" w:space="0" w:color="auto"/>
              <w:right w:val="single" w:sz="4" w:space="0" w:color="auto"/>
            </w:tcBorders>
            <w:shd w:val="clear" w:color="auto" w:fill="auto"/>
            <w:noWrap/>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6A0C50">
              <w:rPr>
                <w:rFonts w:ascii="Calibri" w:eastAsia="Times New Roman" w:hAnsi="Calibri" w:cs="Times New Roman"/>
                <w:color w:val="000000"/>
                <w:sz w:val="16"/>
                <w:szCs w:val="16"/>
              </w:rPr>
              <w:t>Reporting Period</w:t>
            </w:r>
            <w:r>
              <w:rPr>
                <w:rFonts w:ascii="Calibri" w:eastAsia="Times New Roman" w:hAnsi="Calibri" w:cs="Times New Roman"/>
                <w:color w:val="000000"/>
                <w:sz w:val="16"/>
                <w:szCs w:val="16"/>
              </w:rPr>
              <w:t xml:space="preserve"> 4</w:t>
            </w:r>
          </w:p>
        </w:tc>
        <w:tc>
          <w:tcPr>
            <w:tcW w:w="688" w:type="dxa"/>
            <w:tcBorders>
              <w:top w:val="nil"/>
              <w:left w:val="nil"/>
              <w:bottom w:val="single" w:sz="4" w:space="0" w:color="auto"/>
              <w:right w:val="single" w:sz="4" w:space="0" w:color="auto"/>
            </w:tcBorders>
            <w:shd w:val="clear" w:color="auto" w:fill="auto"/>
            <w:noWrap/>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6A0C50">
              <w:rPr>
                <w:rFonts w:ascii="Calibri" w:eastAsia="Times New Roman" w:hAnsi="Calibri" w:cs="Times New Roman"/>
                <w:color w:val="000000"/>
                <w:sz w:val="16"/>
                <w:szCs w:val="16"/>
              </w:rPr>
              <w:t>Reporting Period</w:t>
            </w:r>
            <w:r>
              <w:rPr>
                <w:rFonts w:ascii="Calibri" w:eastAsia="Times New Roman" w:hAnsi="Calibri" w:cs="Times New Roman"/>
                <w:color w:val="000000"/>
                <w:sz w:val="16"/>
                <w:szCs w:val="16"/>
              </w:rPr>
              <w:t xml:space="preserve"> 5</w:t>
            </w:r>
          </w:p>
        </w:tc>
        <w:tc>
          <w:tcPr>
            <w:tcW w:w="734" w:type="dxa"/>
            <w:tcBorders>
              <w:top w:val="nil"/>
              <w:left w:val="nil"/>
              <w:bottom w:val="single" w:sz="4" w:space="0" w:color="auto"/>
              <w:right w:val="single" w:sz="4" w:space="0" w:color="auto"/>
            </w:tcBorders>
            <w:shd w:val="clear" w:color="auto" w:fill="auto"/>
            <w:noWrap/>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6A0C50">
              <w:rPr>
                <w:rFonts w:ascii="Calibri" w:eastAsia="Times New Roman" w:hAnsi="Calibri" w:cs="Times New Roman"/>
                <w:color w:val="000000"/>
                <w:sz w:val="16"/>
                <w:szCs w:val="16"/>
              </w:rPr>
              <w:t>Reporting Period</w:t>
            </w:r>
            <w:r>
              <w:rPr>
                <w:rFonts w:ascii="Calibri" w:eastAsia="Times New Roman" w:hAnsi="Calibri" w:cs="Times New Roman"/>
                <w:color w:val="000000"/>
                <w:sz w:val="16"/>
                <w:szCs w:val="16"/>
              </w:rPr>
              <w:t xml:space="preserve"> 6</w:t>
            </w:r>
          </w:p>
        </w:tc>
        <w:tc>
          <w:tcPr>
            <w:tcW w:w="941" w:type="dxa"/>
            <w:tcBorders>
              <w:top w:val="nil"/>
              <w:left w:val="nil"/>
              <w:bottom w:val="single" w:sz="4" w:space="0" w:color="auto"/>
              <w:right w:val="single" w:sz="8" w:space="0" w:color="auto"/>
            </w:tcBorders>
            <w:shd w:val="clear" w:color="auto" w:fill="auto"/>
            <w:noWrap/>
            <w:vAlign w:val="bottom"/>
            <w:hideMark/>
          </w:tcPr>
          <w:p w:rsidR="00817055" w:rsidRPr="00A12CF3" w:rsidRDefault="00817055" w:rsidP="00A12CF3">
            <w:pPr>
              <w:spacing w:after="0" w:line="240" w:lineRule="auto"/>
              <w:jc w:val="center"/>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Sum </w:t>
            </w:r>
          </w:p>
        </w:tc>
      </w:tr>
      <w:tr w:rsidR="00A12CF3" w:rsidRPr="00A12CF3" w:rsidTr="00817055">
        <w:trPr>
          <w:trHeight w:val="224"/>
        </w:trPr>
        <w:tc>
          <w:tcPr>
            <w:tcW w:w="3096" w:type="dxa"/>
            <w:tcBorders>
              <w:top w:val="nil"/>
              <w:left w:val="single" w:sz="8" w:space="0" w:color="auto"/>
              <w:bottom w:val="single" w:sz="4" w:space="0" w:color="auto"/>
              <w:right w:val="single" w:sz="4" w:space="0" w:color="auto"/>
            </w:tcBorders>
            <w:shd w:val="clear" w:color="auto" w:fill="auto"/>
            <w:vAlign w:val="center"/>
            <w:hideMark/>
          </w:tcPr>
          <w:p w:rsidR="00A12CF3" w:rsidRPr="00A12CF3" w:rsidRDefault="00A12CF3" w:rsidP="00A12CF3">
            <w:pPr>
              <w:spacing w:after="0" w:line="240" w:lineRule="auto"/>
              <w:jc w:val="right"/>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Credits Issued under Early Action Protocol</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734"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500 </w:t>
            </w:r>
          </w:p>
        </w:tc>
        <w:tc>
          <w:tcPr>
            <w:tcW w:w="941" w:type="dxa"/>
            <w:tcBorders>
              <w:top w:val="nil"/>
              <w:left w:val="nil"/>
              <w:bottom w:val="single" w:sz="4" w:space="0" w:color="auto"/>
              <w:right w:val="single" w:sz="8" w:space="0" w:color="auto"/>
            </w:tcBorders>
            <w:shd w:val="clear" w:color="000000" w:fill="FFFFFF"/>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3,000 </w:t>
            </w:r>
          </w:p>
        </w:tc>
      </w:tr>
      <w:tr w:rsidR="00A12CF3" w:rsidRPr="00A12CF3" w:rsidTr="00817055">
        <w:trPr>
          <w:trHeight w:val="338"/>
        </w:trPr>
        <w:tc>
          <w:tcPr>
            <w:tcW w:w="3096" w:type="dxa"/>
            <w:tcBorders>
              <w:top w:val="nil"/>
              <w:left w:val="single" w:sz="8" w:space="0" w:color="auto"/>
              <w:bottom w:val="single" w:sz="4" w:space="0" w:color="auto"/>
              <w:right w:val="single" w:sz="4" w:space="0" w:color="auto"/>
            </w:tcBorders>
            <w:shd w:val="clear" w:color="auto" w:fill="auto"/>
            <w:vAlign w:val="center"/>
            <w:hideMark/>
          </w:tcPr>
          <w:p w:rsidR="00A12CF3" w:rsidRPr="00A12CF3" w:rsidRDefault="00A12CF3" w:rsidP="00A12CF3">
            <w:pPr>
              <w:spacing w:after="0" w:line="240" w:lineRule="auto"/>
              <w:jc w:val="right"/>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Credits that would have been i</w:t>
            </w:r>
            <w:r w:rsidR="00CA3FE7">
              <w:rPr>
                <w:rFonts w:ascii="Calibri" w:eastAsia="Times New Roman" w:hAnsi="Calibri" w:cs="Times New Roman"/>
                <w:color w:val="000000"/>
                <w:sz w:val="16"/>
                <w:szCs w:val="16"/>
              </w:rPr>
              <w:t>ssued under Compliance Protocol</w:t>
            </w:r>
          </w:p>
        </w:tc>
        <w:tc>
          <w:tcPr>
            <w:tcW w:w="902"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734"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1,000 </w:t>
            </w:r>
          </w:p>
        </w:tc>
        <w:tc>
          <w:tcPr>
            <w:tcW w:w="941" w:type="dxa"/>
            <w:tcBorders>
              <w:top w:val="nil"/>
              <w:left w:val="nil"/>
              <w:bottom w:val="single" w:sz="4" w:space="0" w:color="auto"/>
              <w:right w:val="single" w:sz="8"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6,000 </w:t>
            </w:r>
          </w:p>
        </w:tc>
      </w:tr>
      <w:tr w:rsidR="00A12CF3" w:rsidRPr="00A12CF3" w:rsidTr="00817055">
        <w:trPr>
          <w:trHeight w:val="338"/>
        </w:trPr>
        <w:tc>
          <w:tcPr>
            <w:tcW w:w="3096" w:type="dxa"/>
            <w:tcBorders>
              <w:top w:val="nil"/>
              <w:left w:val="single" w:sz="8" w:space="0" w:color="auto"/>
              <w:bottom w:val="single" w:sz="4" w:space="0" w:color="auto"/>
              <w:right w:val="single" w:sz="4" w:space="0" w:color="auto"/>
            </w:tcBorders>
            <w:shd w:val="clear" w:color="auto" w:fill="auto"/>
            <w:vAlign w:val="center"/>
            <w:hideMark/>
          </w:tcPr>
          <w:p w:rsidR="00A12CF3" w:rsidRPr="00A12CF3" w:rsidRDefault="00817055" w:rsidP="00CA3FE7">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Credits eligible to be </w:t>
            </w:r>
            <w:r w:rsidR="00A12CF3" w:rsidRPr="00A12CF3">
              <w:rPr>
                <w:rFonts w:ascii="Calibri" w:eastAsia="Times New Roman" w:hAnsi="Calibri" w:cs="Times New Roman"/>
                <w:color w:val="000000"/>
                <w:sz w:val="16"/>
                <w:szCs w:val="16"/>
              </w:rPr>
              <w:t>conve</w:t>
            </w:r>
            <w:r>
              <w:rPr>
                <w:rFonts w:ascii="Calibri" w:eastAsia="Times New Roman" w:hAnsi="Calibri" w:cs="Times New Roman"/>
                <w:color w:val="000000"/>
                <w:sz w:val="16"/>
                <w:szCs w:val="16"/>
              </w:rPr>
              <w:t>r</w:t>
            </w:r>
            <w:r w:rsidR="00A12CF3" w:rsidRPr="00A12CF3">
              <w:rPr>
                <w:rFonts w:ascii="Calibri" w:eastAsia="Times New Roman" w:hAnsi="Calibri" w:cs="Times New Roman"/>
                <w:color w:val="000000"/>
                <w:sz w:val="16"/>
                <w:szCs w:val="16"/>
              </w:rPr>
              <w:t xml:space="preserve">ted </w:t>
            </w:r>
            <w:r w:rsidR="00CA3FE7">
              <w:rPr>
                <w:rFonts w:ascii="Calibri" w:eastAsia="Times New Roman" w:hAnsi="Calibri" w:cs="Times New Roman"/>
                <w:color w:val="000000"/>
                <w:sz w:val="16"/>
                <w:szCs w:val="16"/>
              </w:rPr>
              <w:t>to ARB offset credits</w:t>
            </w:r>
          </w:p>
        </w:tc>
        <w:tc>
          <w:tcPr>
            <w:tcW w:w="902" w:type="dxa"/>
            <w:tcBorders>
              <w:top w:val="nil"/>
              <w:left w:val="nil"/>
              <w:bottom w:val="single" w:sz="4" w:space="0" w:color="auto"/>
              <w:right w:val="single" w:sz="4"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w:t>
            </w:r>
            <w:r w:rsidR="00CA3FE7">
              <w:rPr>
                <w:rFonts w:ascii="Calibri" w:eastAsia="Times New Roman" w:hAnsi="Calibri" w:cs="Times New Roman"/>
                <w:color w:val="000000"/>
                <w:sz w:val="16"/>
                <w:szCs w:val="16"/>
              </w:rPr>
              <w:t>500</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CA3FE7" w:rsidP="00A12CF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500</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CA3FE7" w:rsidP="00A12CF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500</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CA3FE7" w:rsidP="00A12CF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500</w:t>
            </w:r>
          </w:p>
        </w:tc>
        <w:tc>
          <w:tcPr>
            <w:tcW w:w="688" w:type="dxa"/>
            <w:tcBorders>
              <w:top w:val="nil"/>
              <w:left w:val="nil"/>
              <w:bottom w:val="single" w:sz="4" w:space="0" w:color="auto"/>
              <w:right w:val="single" w:sz="4" w:space="0" w:color="auto"/>
            </w:tcBorders>
            <w:shd w:val="clear" w:color="auto" w:fill="auto"/>
            <w:vAlign w:val="bottom"/>
            <w:hideMark/>
          </w:tcPr>
          <w:p w:rsidR="00A12CF3" w:rsidRPr="00A12CF3" w:rsidRDefault="00CA3FE7" w:rsidP="00A12CF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500</w:t>
            </w:r>
          </w:p>
        </w:tc>
        <w:tc>
          <w:tcPr>
            <w:tcW w:w="734" w:type="dxa"/>
            <w:tcBorders>
              <w:top w:val="nil"/>
              <w:left w:val="nil"/>
              <w:bottom w:val="single" w:sz="4" w:space="0" w:color="auto"/>
              <w:right w:val="single" w:sz="4" w:space="0" w:color="auto"/>
            </w:tcBorders>
            <w:shd w:val="clear" w:color="auto" w:fill="auto"/>
            <w:vAlign w:val="bottom"/>
            <w:hideMark/>
          </w:tcPr>
          <w:p w:rsidR="00A12CF3" w:rsidRPr="00A12CF3" w:rsidRDefault="00CA3FE7" w:rsidP="00A12CF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500</w:t>
            </w:r>
          </w:p>
        </w:tc>
        <w:tc>
          <w:tcPr>
            <w:tcW w:w="941" w:type="dxa"/>
            <w:tcBorders>
              <w:top w:val="nil"/>
              <w:left w:val="nil"/>
              <w:bottom w:val="single" w:sz="4" w:space="0" w:color="auto"/>
              <w:right w:val="single" w:sz="8" w:space="0" w:color="auto"/>
            </w:tcBorders>
            <w:shd w:val="clear" w:color="000000" w:fill="FFFFFF"/>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3,000 </w:t>
            </w:r>
          </w:p>
        </w:tc>
      </w:tr>
      <w:tr w:rsidR="007B525D" w:rsidRPr="00A12CF3" w:rsidTr="007B525D">
        <w:trPr>
          <w:trHeight w:val="224"/>
        </w:trPr>
        <w:tc>
          <w:tcPr>
            <w:tcW w:w="3096" w:type="dxa"/>
            <w:tcBorders>
              <w:top w:val="nil"/>
              <w:left w:val="single" w:sz="8" w:space="0" w:color="auto"/>
              <w:bottom w:val="single" w:sz="4" w:space="0" w:color="auto"/>
              <w:right w:val="single" w:sz="4" w:space="0" w:color="auto"/>
            </w:tcBorders>
            <w:shd w:val="clear" w:color="auto" w:fill="auto"/>
            <w:vAlign w:val="center"/>
            <w:hideMark/>
          </w:tcPr>
          <w:p w:rsidR="00A12CF3" w:rsidRPr="00A12CF3" w:rsidRDefault="00CA3FE7" w:rsidP="00CA3FE7">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Credits difference </w:t>
            </w:r>
            <w:r w:rsidR="00A12CF3" w:rsidRPr="00A12CF3">
              <w:rPr>
                <w:rFonts w:ascii="Calibri" w:eastAsia="Times New Roman" w:hAnsi="Calibri" w:cs="Times New Roman"/>
                <w:color w:val="000000"/>
                <w:sz w:val="16"/>
                <w:szCs w:val="16"/>
              </w:rPr>
              <w:t xml:space="preserve">to be Issued </w:t>
            </w:r>
            <w:r>
              <w:rPr>
                <w:rFonts w:ascii="Calibri" w:eastAsia="Times New Roman" w:hAnsi="Calibri" w:cs="Times New Roman"/>
                <w:color w:val="000000"/>
                <w:sz w:val="16"/>
                <w:szCs w:val="16"/>
              </w:rPr>
              <w:t>after transition</w:t>
            </w:r>
            <w:r w:rsidR="00A12CF3" w:rsidRPr="00A12CF3">
              <w:rPr>
                <w:rFonts w:ascii="Calibri" w:eastAsia="Times New Roman" w:hAnsi="Calibri" w:cs="Times New Roman"/>
                <w:color w:val="000000"/>
                <w:sz w:val="16"/>
                <w:szCs w:val="16"/>
              </w:rPr>
              <w:t xml:space="preserve"> </w:t>
            </w:r>
          </w:p>
        </w:tc>
        <w:tc>
          <w:tcPr>
            <w:tcW w:w="4388" w:type="dxa"/>
            <w:gridSpan w:val="6"/>
            <w:tcBorders>
              <w:top w:val="single" w:sz="4" w:space="0" w:color="auto"/>
              <w:left w:val="nil"/>
              <w:bottom w:val="single" w:sz="4" w:space="0" w:color="auto"/>
              <w:right w:val="single" w:sz="4" w:space="0" w:color="000000"/>
            </w:tcBorders>
            <w:shd w:val="clear" w:color="000000" w:fill="D9D9D9"/>
            <w:vAlign w:val="bottom"/>
            <w:hideMark/>
          </w:tcPr>
          <w:p w:rsidR="00A12CF3" w:rsidRPr="00A12CF3" w:rsidRDefault="00A12CF3" w:rsidP="00A12CF3">
            <w:pPr>
              <w:spacing w:after="0" w:line="240" w:lineRule="auto"/>
              <w:jc w:val="center"/>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w:t>
            </w:r>
          </w:p>
        </w:tc>
        <w:tc>
          <w:tcPr>
            <w:tcW w:w="941" w:type="dxa"/>
            <w:tcBorders>
              <w:top w:val="nil"/>
              <w:left w:val="nil"/>
              <w:bottom w:val="single" w:sz="4" w:space="0" w:color="auto"/>
              <w:right w:val="single" w:sz="8" w:space="0" w:color="auto"/>
            </w:tcBorders>
            <w:shd w:val="clear" w:color="auto" w:fill="auto"/>
            <w:vAlign w:val="bottom"/>
            <w:hideMark/>
          </w:tcPr>
          <w:p w:rsidR="00A12CF3" w:rsidRPr="00A12CF3" w:rsidRDefault="00A12CF3" w:rsidP="00A12CF3">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               3,000 </w:t>
            </w:r>
          </w:p>
        </w:tc>
      </w:tr>
      <w:tr w:rsidR="00A12CF3" w:rsidRPr="00A12CF3" w:rsidTr="007B525D">
        <w:trPr>
          <w:trHeight w:val="236"/>
        </w:trPr>
        <w:tc>
          <w:tcPr>
            <w:tcW w:w="8425" w:type="dxa"/>
            <w:gridSpan w:val="8"/>
            <w:tcBorders>
              <w:top w:val="single" w:sz="4" w:space="0" w:color="auto"/>
              <w:left w:val="single" w:sz="8" w:space="0" w:color="auto"/>
              <w:bottom w:val="single" w:sz="8" w:space="0" w:color="auto"/>
              <w:right w:val="single" w:sz="8" w:space="0" w:color="000000"/>
            </w:tcBorders>
            <w:shd w:val="clear" w:color="auto" w:fill="auto"/>
            <w:hideMark/>
          </w:tcPr>
          <w:p w:rsidR="00A12CF3" w:rsidRPr="00A12CF3" w:rsidRDefault="00A12CF3" w:rsidP="00CA3FE7">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Credits under the compliance protocol are calculated per </w:t>
            </w:r>
            <w:r w:rsidR="00CA3FE7">
              <w:rPr>
                <w:rFonts w:ascii="Calibri" w:eastAsia="Times New Roman" w:hAnsi="Calibri" w:cs="Times New Roman"/>
                <w:color w:val="000000"/>
                <w:sz w:val="16"/>
                <w:szCs w:val="16"/>
              </w:rPr>
              <w:t>the COP</w:t>
            </w:r>
            <w:r w:rsidRPr="00A12CF3">
              <w:rPr>
                <w:rFonts w:ascii="Calibri" w:eastAsia="Times New Roman" w:hAnsi="Calibri" w:cs="Times New Roman"/>
                <w:color w:val="000000"/>
                <w:sz w:val="16"/>
                <w:szCs w:val="16"/>
              </w:rPr>
              <w:t xml:space="preserve">.  </w:t>
            </w:r>
            <w:r w:rsidR="00CA3FE7">
              <w:rPr>
                <w:rFonts w:ascii="Calibri" w:eastAsia="Times New Roman" w:hAnsi="Calibri" w:cs="Times New Roman"/>
                <w:color w:val="000000"/>
                <w:sz w:val="16"/>
                <w:szCs w:val="16"/>
              </w:rPr>
              <w:t>Actual credits issued must include where appropriate adjustments for</w:t>
            </w:r>
            <w:r w:rsidRPr="00A12CF3">
              <w:rPr>
                <w:rFonts w:ascii="Calibri" w:eastAsia="Times New Roman" w:hAnsi="Calibri" w:cs="Times New Roman"/>
                <w:color w:val="000000"/>
                <w:sz w:val="16"/>
                <w:szCs w:val="16"/>
              </w:rPr>
              <w:t xml:space="preserve"> confidence deductions, buffer pool contributions, leakage calculations, and restricted to eligible carbon pools.</w:t>
            </w:r>
          </w:p>
        </w:tc>
      </w:tr>
    </w:tbl>
    <w:p w:rsidR="005719C8" w:rsidRDefault="005719C8" w:rsidP="008E2C69">
      <w:pPr>
        <w:jc w:val="center"/>
        <w:rPr>
          <w:rFonts w:ascii="Arial" w:hAnsi="Arial" w:cs="Arial"/>
          <w:sz w:val="24"/>
          <w:szCs w:val="24"/>
        </w:rPr>
      </w:pPr>
    </w:p>
    <w:p w:rsidR="005719C8" w:rsidRPr="007368C9" w:rsidRDefault="005719C8" w:rsidP="00C5699F">
      <w:pPr>
        <w:ind w:left="360"/>
        <w:rPr>
          <w:rFonts w:ascii="Arial" w:hAnsi="Arial" w:cs="Arial"/>
          <w:sz w:val="24"/>
          <w:szCs w:val="24"/>
        </w:rPr>
      </w:pPr>
      <w:r w:rsidRPr="007368C9">
        <w:rPr>
          <w:rFonts w:ascii="Arial" w:hAnsi="Arial" w:cs="Arial"/>
          <w:sz w:val="24"/>
          <w:szCs w:val="24"/>
        </w:rPr>
        <w:t>Transitioning projects that have been</w:t>
      </w:r>
      <w:r w:rsidR="00AE19D9" w:rsidRPr="007368C9">
        <w:rPr>
          <w:rFonts w:ascii="Arial" w:hAnsi="Arial" w:cs="Arial"/>
          <w:sz w:val="24"/>
          <w:szCs w:val="24"/>
        </w:rPr>
        <w:t xml:space="preserve"> </w:t>
      </w:r>
      <w:r w:rsidR="0086057E" w:rsidRPr="007368C9">
        <w:rPr>
          <w:rFonts w:ascii="Arial" w:hAnsi="Arial" w:cs="Arial"/>
          <w:sz w:val="24"/>
          <w:szCs w:val="24"/>
        </w:rPr>
        <w:t xml:space="preserve">issued </w:t>
      </w:r>
      <w:r w:rsidR="00AE19D9" w:rsidRPr="007368C9">
        <w:rPr>
          <w:rFonts w:ascii="Arial" w:hAnsi="Arial" w:cs="Arial"/>
          <w:sz w:val="24"/>
          <w:szCs w:val="24"/>
        </w:rPr>
        <w:t>more</w:t>
      </w:r>
      <w:r w:rsidRPr="007368C9">
        <w:rPr>
          <w:rFonts w:ascii="Arial" w:hAnsi="Arial" w:cs="Arial"/>
          <w:sz w:val="24"/>
          <w:szCs w:val="24"/>
        </w:rPr>
        <w:t xml:space="preserve"> </w:t>
      </w:r>
      <w:r w:rsidR="00D57439" w:rsidRPr="007368C9">
        <w:rPr>
          <w:rFonts w:ascii="Arial" w:hAnsi="Arial" w:cs="Arial"/>
          <w:sz w:val="24"/>
          <w:szCs w:val="24"/>
        </w:rPr>
        <w:t xml:space="preserve">early action offset </w:t>
      </w:r>
      <w:r w:rsidRPr="007368C9">
        <w:rPr>
          <w:rFonts w:ascii="Arial" w:hAnsi="Arial" w:cs="Arial"/>
          <w:sz w:val="24"/>
          <w:szCs w:val="24"/>
        </w:rPr>
        <w:t>credits tha</w:t>
      </w:r>
      <w:r w:rsidR="00AE19D9" w:rsidRPr="007368C9">
        <w:rPr>
          <w:rFonts w:ascii="Arial" w:hAnsi="Arial" w:cs="Arial"/>
          <w:sz w:val="24"/>
          <w:szCs w:val="24"/>
        </w:rPr>
        <w:t>n</w:t>
      </w:r>
      <w:r w:rsidRPr="007368C9">
        <w:rPr>
          <w:rFonts w:ascii="Arial" w:hAnsi="Arial" w:cs="Arial"/>
          <w:sz w:val="24"/>
          <w:szCs w:val="24"/>
        </w:rPr>
        <w:t xml:space="preserve"> would have been issued under the </w:t>
      </w:r>
      <w:r w:rsidR="00D57439" w:rsidRPr="007368C9">
        <w:rPr>
          <w:rFonts w:ascii="Arial" w:hAnsi="Arial" w:cs="Arial"/>
          <w:sz w:val="24"/>
          <w:szCs w:val="24"/>
        </w:rPr>
        <w:t>COP may transition all their early action offset credits</w:t>
      </w:r>
      <w:r w:rsidR="0071308D">
        <w:rPr>
          <w:rFonts w:ascii="Arial" w:hAnsi="Arial" w:cs="Arial"/>
          <w:sz w:val="24"/>
          <w:szCs w:val="24"/>
        </w:rPr>
        <w:t>.</w:t>
      </w:r>
      <w:r w:rsidR="00CB207B">
        <w:rPr>
          <w:rStyle w:val="FootnoteReference"/>
          <w:rFonts w:ascii="Arial" w:hAnsi="Arial" w:cs="Arial"/>
          <w:sz w:val="24"/>
          <w:szCs w:val="24"/>
        </w:rPr>
        <w:footnoteReference w:id="12"/>
      </w:r>
      <w:r w:rsidR="007B22C9">
        <w:rPr>
          <w:rFonts w:ascii="Arial" w:hAnsi="Arial" w:cs="Arial"/>
          <w:sz w:val="24"/>
          <w:szCs w:val="24"/>
        </w:rPr>
        <w:t xml:space="preserve"> </w:t>
      </w:r>
      <w:r w:rsidR="004A7725" w:rsidRPr="007368C9">
        <w:rPr>
          <w:rFonts w:ascii="Arial" w:hAnsi="Arial" w:cs="Arial"/>
          <w:sz w:val="24"/>
          <w:szCs w:val="24"/>
        </w:rPr>
        <w:t xml:space="preserve">Following the transition date, future increases in project inventory (growth) are credited according to the COP.  </w:t>
      </w:r>
      <w:r w:rsidRPr="007368C9">
        <w:rPr>
          <w:rFonts w:ascii="Arial" w:hAnsi="Arial" w:cs="Arial"/>
          <w:sz w:val="24"/>
          <w:szCs w:val="24"/>
        </w:rPr>
        <w:t xml:space="preserve">Table </w:t>
      </w:r>
      <w:r w:rsidR="0050539A" w:rsidRPr="007368C9">
        <w:rPr>
          <w:rFonts w:ascii="Arial" w:hAnsi="Arial" w:cs="Arial"/>
          <w:sz w:val="24"/>
          <w:szCs w:val="24"/>
        </w:rPr>
        <w:t>3</w:t>
      </w:r>
      <w:r w:rsidRPr="007368C9">
        <w:rPr>
          <w:rFonts w:ascii="Arial" w:hAnsi="Arial" w:cs="Arial"/>
          <w:sz w:val="24"/>
          <w:szCs w:val="24"/>
        </w:rPr>
        <w:t xml:space="preserve"> displays an example of reconciling </w:t>
      </w:r>
      <w:r w:rsidR="00792ABA" w:rsidRPr="007368C9">
        <w:rPr>
          <w:rFonts w:ascii="Arial" w:hAnsi="Arial" w:cs="Arial"/>
          <w:sz w:val="24"/>
          <w:szCs w:val="24"/>
        </w:rPr>
        <w:t>early action</w:t>
      </w:r>
      <w:r w:rsidR="004A7725" w:rsidRPr="007368C9">
        <w:rPr>
          <w:rFonts w:ascii="Arial" w:hAnsi="Arial" w:cs="Arial"/>
          <w:sz w:val="24"/>
          <w:szCs w:val="24"/>
        </w:rPr>
        <w:t xml:space="preserve"> offset</w:t>
      </w:r>
      <w:r w:rsidRPr="007368C9">
        <w:rPr>
          <w:rFonts w:ascii="Arial" w:hAnsi="Arial" w:cs="Arial"/>
          <w:sz w:val="24"/>
          <w:szCs w:val="24"/>
        </w:rPr>
        <w:t xml:space="preserve"> projects </w:t>
      </w:r>
      <w:r w:rsidR="004A7725" w:rsidRPr="007368C9">
        <w:rPr>
          <w:rFonts w:ascii="Arial" w:hAnsi="Arial" w:cs="Arial"/>
          <w:sz w:val="24"/>
          <w:szCs w:val="24"/>
        </w:rPr>
        <w:t>in situations</w:t>
      </w:r>
      <w:r w:rsidRPr="007368C9">
        <w:rPr>
          <w:rFonts w:ascii="Arial" w:hAnsi="Arial" w:cs="Arial"/>
          <w:sz w:val="24"/>
          <w:szCs w:val="24"/>
        </w:rPr>
        <w:t xml:space="preserve"> where crediting under the </w:t>
      </w:r>
      <w:r w:rsidR="004A7725" w:rsidRPr="007368C9">
        <w:rPr>
          <w:rFonts w:ascii="Arial" w:hAnsi="Arial" w:cs="Arial"/>
          <w:sz w:val="24"/>
          <w:szCs w:val="24"/>
        </w:rPr>
        <w:t>COP</w:t>
      </w:r>
      <w:r w:rsidRPr="007368C9">
        <w:rPr>
          <w:rFonts w:ascii="Arial" w:hAnsi="Arial" w:cs="Arial"/>
          <w:sz w:val="24"/>
          <w:szCs w:val="24"/>
        </w:rPr>
        <w:t xml:space="preserve"> would yield </w:t>
      </w:r>
      <w:r w:rsidR="00AE19D9" w:rsidRPr="007368C9">
        <w:rPr>
          <w:rFonts w:ascii="Arial" w:hAnsi="Arial" w:cs="Arial"/>
          <w:sz w:val="24"/>
          <w:szCs w:val="24"/>
        </w:rPr>
        <w:t xml:space="preserve">fewer </w:t>
      </w:r>
      <w:r w:rsidRPr="007368C9">
        <w:rPr>
          <w:rFonts w:ascii="Arial" w:hAnsi="Arial" w:cs="Arial"/>
          <w:sz w:val="24"/>
          <w:szCs w:val="24"/>
        </w:rPr>
        <w:t xml:space="preserve">credits than crediting under the </w:t>
      </w:r>
      <w:r w:rsidR="00792ABA" w:rsidRPr="007368C9">
        <w:rPr>
          <w:rFonts w:ascii="Arial" w:hAnsi="Arial" w:cs="Arial"/>
          <w:sz w:val="24"/>
          <w:szCs w:val="24"/>
        </w:rPr>
        <w:t>early action</w:t>
      </w:r>
      <w:r w:rsidRPr="007368C9">
        <w:rPr>
          <w:rFonts w:ascii="Arial" w:hAnsi="Arial" w:cs="Arial"/>
          <w:sz w:val="24"/>
          <w:szCs w:val="24"/>
        </w:rPr>
        <w:t xml:space="preserve"> </w:t>
      </w:r>
      <w:r w:rsidR="004A7725" w:rsidRPr="007368C9">
        <w:rPr>
          <w:rFonts w:ascii="Arial" w:hAnsi="Arial" w:cs="Arial"/>
          <w:sz w:val="24"/>
          <w:szCs w:val="24"/>
        </w:rPr>
        <w:t xml:space="preserve">offset </w:t>
      </w:r>
      <w:r w:rsidRPr="007368C9">
        <w:rPr>
          <w:rFonts w:ascii="Arial" w:hAnsi="Arial" w:cs="Arial"/>
          <w:sz w:val="24"/>
          <w:szCs w:val="24"/>
        </w:rPr>
        <w:t>protocol.</w:t>
      </w:r>
    </w:p>
    <w:p w:rsidR="008E2C69" w:rsidRDefault="0050539A" w:rsidP="00C5699F">
      <w:pPr>
        <w:keepNext/>
        <w:rPr>
          <w:rFonts w:ascii="Arial" w:hAnsi="Arial" w:cs="Arial"/>
          <w:sz w:val="24"/>
          <w:szCs w:val="24"/>
        </w:rPr>
      </w:pPr>
      <w:r w:rsidRPr="00E94ECE">
        <w:rPr>
          <w:rFonts w:ascii="Arial" w:hAnsi="Arial" w:cs="Arial"/>
          <w:b/>
          <w:sz w:val="24"/>
          <w:szCs w:val="24"/>
        </w:rPr>
        <w:t xml:space="preserve">Table 3.  </w:t>
      </w:r>
      <w:r w:rsidRPr="00C5699F">
        <w:rPr>
          <w:rFonts w:ascii="Arial" w:hAnsi="Arial" w:cs="Arial"/>
          <w:sz w:val="24"/>
          <w:szCs w:val="24"/>
        </w:rPr>
        <w:t xml:space="preserve">Reconciling </w:t>
      </w:r>
      <w:r w:rsidR="00CA3FE7">
        <w:rPr>
          <w:rFonts w:ascii="Arial" w:hAnsi="Arial" w:cs="Arial"/>
          <w:sz w:val="24"/>
          <w:szCs w:val="24"/>
        </w:rPr>
        <w:t>negative credit differences</w:t>
      </w:r>
      <w:r w:rsidR="00D57439" w:rsidRPr="00C5699F">
        <w:rPr>
          <w:rFonts w:ascii="Arial" w:hAnsi="Arial" w:cs="Arial"/>
          <w:sz w:val="24"/>
          <w:szCs w:val="24"/>
        </w:rPr>
        <w:t xml:space="preserve"> </w:t>
      </w:r>
      <w:r w:rsidR="00A3698F" w:rsidRPr="00C5699F">
        <w:rPr>
          <w:rFonts w:ascii="Arial" w:hAnsi="Arial" w:cs="Arial"/>
          <w:sz w:val="24"/>
          <w:szCs w:val="24"/>
        </w:rPr>
        <w:t xml:space="preserve">by </w:t>
      </w:r>
      <w:r w:rsidRPr="00C5699F">
        <w:rPr>
          <w:rFonts w:ascii="Arial" w:hAnsi="Arial" w:cs="Arial"/>
          <w:sz w:val="24"/>
          <w:szCs w:val="24"/>
        </w:rPr>
        <w:t xml:space="preserve">early action </w:t>
      </w:r>
      <w:r w:rsidR="004A7725" w:rsidRPr="00C5699F">
        <w:rPr>
          <w:rFonts w:ascii="Arial" w:hAnsi="Arial" w:cs="Arial"/>
          <w:sz w:val="24"/>
          <w:szCs w:val="24"/>
        </w:rPr>
        <w:t xml:space="preserve">offset </w:t>
      </w:r>
      <w:r w:rsidR="00A3698F" w:rsidRPr="00C5699F">
        <w:rPr>
          <w:rFonts w:ascii="Arial" w:hAnsi="Arial" w:cs="Arial"/>
          <w:sz w:val="24"/>
          <w:szCs w:val="24"/>
        </w:rPr>
        <w:t>protocols</w:t>
      </w:r>
      <w:r w:rsidRPr="00C5699F">
        <w:rPr>
          <w:rFonts w:ascii="Arial" w:hAnsi="Arial" w:cs="Arial"/>
          <w:sz w:val="24"/>
          <w:szCs w:val="24"/>
        </w:rPr>
        <w:t>.</w:t>
      </w:r>
    </w:p>
    <w:tbl>
      <w:tblPr>
        <w:tblW w:w="9440" w:type="dxa"/>
        <w:tblLook w:val="04A0" w:firstRow="1" w:lastRow="0" w:firstColumn="1" w:lastColumn="0" w:noHBand="0" w:noVBand="1"/>
      </w:tblPr>
      <w:tblGrid>
        <w:gridCol w:w="3500"/>
        <w:gridCol w:w="1020"/>
        <w:gridCol w:w="780"/>
        <w:gridCol w:w="780"/>
        <w:gridCol w:w="780"/>
        <w:gridCol w:w="780"/>
        <w:gridCol w:w="820"/>
        <w:gridCol w:w="980"/>
      </w:tblGrid>
      <w:tr w:rsidR="00EA4C75" w:rsidRPr="00EA4C75" w:rsidTr="00EA4C75">
        <w:trPr>
          <w:trHeight w:val="300"/>
        </w:trPr>
        <w:tc>
          <w:tcPr>
            <w:tcW w:w="35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rPr>
            </w:pPr>
            <w:r w:rsidRPr="00EA4C75">
              <w:rPr>
                <w:rFonts w:ascii="Calibri" w:eastAsia="Times New Roman" w:hAnsi="Calibri" w:cs="Times New Roman"/>
                <w:color w:val="000000"/>
              </w:rPr>
              <w:t>Credit Reconciliation</w:t>
            </w:r>
          </w:p>
        </w:tc>
        <w:tc>
          <w:tcPr>
            <w:tcW w:w="594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Timeframe</w:t>
            </w:r>
          </w:p>
        </w:tc>
      </w:tr>
      <w:tr w:rsidR="00EA4C75" w:rsidRPr="00EA4C75" w:rsidTr="00EA4C75">
        <w:trPr>
          <w:trHeight w:val="300"/>
        </w:trPr>
        <w:tc>
          <w:tcPr>
            <w:tcW w:w="3500" w:type="dxa"/>
            <w:vMerge/>
            <w:tcBorders>
              <w:top w:val="single" w:sz="8" w:space="0" w:color="auto"/>
              <w:left w:val="single" w:sz="8" w:space="0" w:color="auto"/>
              <w:bottom w:val="single" w:sz="4" w:space="0" w:color="auto"/>
              <w:right w:val="single" w:sz="4" w:space="0" w:color="auto"/>
            </w:tcBorders>
            <w:vAlign w:val="center"/>
            <w:hideMark/>
          </w:tcPr>
          <w:p w:rsidR="00EA4C75" w:rsidRPr="00EA4C75" w:rsidRDefault="00EA4C75" w:rsidP="00EA4C75">
            <w:pPr>
              <w:spacing w:after="0" w:line="240" w:lineRule="auto"/>
              <w:rPr>
                <w:rFonts w:ascii="Calibri" w:eastAsia="Times New Roman" w:hAnsi="Calibri" w:cs="Times New Roman"/>
                <w:color w:val="000000"/>
              </w:rPr>
            </w:pPr>
          </w:p>
        </w:tc>
        <w:tc>
          <w:tcPr>
            <w:tcW w:w="4960" w:type="dxa"/>
            <w:gridSpan w:val="6"/>
            <w:tcBorders>
              <w:top w:val="single" w:sz="4" w:space="0" w:color="auto"/>
              <w:left w:val="nil"/>
              <w:bottom w:val="single" w:sz="4" w:space="0" w:color="auto"/>
              <w:right w:val="nil"/>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Early Action Credits</w:t>
            </w:r>
          </w:p>
        </w:tc>
        <w:tc>
          <w:tcPr>
            <w:tcW w:w="980" w:type="dxa"/>
            <w:tcBorders>
              <w:top w:val="nil"/>
              <w:left w:val="nil"/>
              <w:bottom w:val="single" w:sz="4" w:space="0" w:color="auto"/>
              <w:right w:val="single" w:sz="8" w:space="0" w:color="auto"/>
            </w:tcBorders>
            <w:shd w:val="clear" w:color="000000" w:fill="FFFFFF"/>
            <w:noWrap/>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Transition  </w:t>
            </w:r>
          </w:p>
        </w:tc>
      </w:tr>
      <w:tr w:rsidR="00EA4C75" w:rsidRPr="00EA4C75" w:rsidTr="00EA4C75">
        <w:trPr>
          <w:trHeight w:val="300"/>
        </w:trPr>
        <w:tc>
          <w:tcPr>
            <w:tcW w:w="3500" w:type="dxa"/>
            <w:vMerge/>
            <w:tcBorders>
              <w:top w:val="single" w:sz="8" w:space="0" w:color="auto"/>
              <w:left w:val="single" w:sz="8" w:space="0" w:color="auto"/>
              <w:bottom w:val="single" w:sz="4" w:space="0" w:color="auto"/>
              <w:right w:val="single" w:sz="4" w:space="0" w:color="auto"/>
            </w:tcBorders>
            <w:vAlign w:val="center"/>
            <w:hideMark/>
          </w:tcPr>
          <w:p w:rsidR="00EA4C75" w:rsidRPr="00EA4C75" w:rsidRDefault="00EA4C75" w:rsidP="00EA4C75">
            <w:pPr>
              <w:spacing w:after="0" w:line="240" w:lineRule="auto"/>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Year 1</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Year 2 </w:t>
            </w:r>
          </w:p>
        </w:tc>
        <w:tc>
          <w:tcPr>
            <w:tcW w:w="780" w:type="dxa"/>
            <w:tcBorders>
              <w:top w:val="nil"/>
              <w:left w:val="nil"/>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Year 3 </w:t>
            </w:r>
          </w:p>
        </w:tc>
        <w:tc>
          <w:tcPr>
            <w:tcW w:w="780" w:type="dxa"/>
            <w:tcBorders>
              <w:top w:val="nil"/>
              <w:left w:val="nil"/>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Year 4 </w:t>
            </w:r>
          </w:p>
        </w:tc>
        <w:tc>
          <w:tcPr>
            <w:tcW w:w="780" w:type="dxa"/>
            <w:tcBorders>
              <w:top w:val="nil"/>
              <w:left w:val="nil"/>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Year 5 </w:t>
            </w:r>
          </w:p>
        </w:tc>
        <w:tc>
          <w:tcPr>
            <w:tcW w:w="820" w:type="dxa"/>
            <w:tcBorders>
              <w:top w:val="nil"/>
              <w:left w:val="nil"/>
              <w:bottom w:val="single" w:sz="4" w:space="0" w:color="auto"/>
              <w:right w:val="single" w:sz="4" w:space="0" w:color="auto"/>
            </w:tcBorders>
            <w:shd w:val="clear" w:color="auto" w:fill="auto"/>
            <w:noWrap/>
            <w:vAlign w:val="center"/>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Year 6 </w:t>
            </w:r>
          </w:p>
        </w:tc>
        <w:tc>
          <w:tcPr>
            <w:tcW w:w="980" w:type="dxa"/>
            <w:tcBorders>
              <w:top w:val="nil"/>
              <w:left w:val="nil"/>
              <w:bottom w:val="single" w:sz="4" w:space="0" w:color="auto"/>
              <w:right w:val="single" w:sz="8" w:space="0" w:color="auto"/>
            </w:tcBorders>
            <w:shd w:val="clear" w:color="auto" w:fill="auto"/>
            <w:noWrap/>
            <w:vAlign w:val="bottom"/>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Sum </w:t>
            </w:r>
          </w:p>
        </w:tc>
      </w:tr>
      <w:tr w:rsidR="00EA4C75" w:rsidRPr="00EA4C75" w:rsidTr="00EA4C75">
        <w:trPr>
          <w:trHeight w:val="300"/>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A4C75" w:rsidRPr="00EA4C75" w:rsidRDefault="00EA4C75" w:rsidP="00EA4C75">
            <w:pPr>
              <w:spacing w:after="0" w:line="240" w:lineRule="auto"/>
              <w:jc w:val="right"/>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Credits Issued under Early Action Protocol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82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1,000 </w:t>
            </w:r>
          </w:p>
        </w:tc>
        <w:tc>
          <w:tcPr>
            <w:tcW w:w="980" w:type="dxa"/>
            <w:tcBorders>
              <w:top w:val="nil"/>
              <w:left w:val="nil"/>
              <w:bottom w:val="single" w:sz="4" w:space="0" w:color="auto"/>
              <w:right w:val="single" w:sz="8" w:space="0" w:color="auto"/>
            </w:tcBorders>
            <w:shd w:val="clear" w:color="000000" w:fill="FFFFFF"/>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6,000 </w:t>
            </w:r>
          </w:p>
        </w:tc>
      </w:tr>
      <w:tr w:rsidR="00EA4C75" w:rsidRPr="00EA4C75" w:rsidTr="00CA3FE7">
        <w:trPr>
          <w:trHeight w:val="450"/>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A4C75" w:rsidRPr="00EA4C75" w:rsidRDefault="00EA4C75" w:rsidP="00EA4C75">
            <w:pPr>
              <w:spacing w:after="0" w:line="240" w:lineRule="auto"/>
              <w:jc w:val="right"/>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Credits that would have been i</w:t>
            </w:r>
            <w:r w:rsidR="00CA3FE7">
              <w:rPr>
                <w:rFonts w:ascii="Calibri" w:eastAsia="Times New Roman" w:hAnsi="Calibri" w:cs="Times New Roman"/>
                <w:color w:val="000000"/>
                <w:sz w:val="16"/>
                <w:szCs w:val="16"/>
              </w:rPr>
              <w:t>ssued under Compliance Protocol</w:t>
            </w:r>
          </w:p>
        </w:tc>
        <w:tc>
          <w:tcPr>
            <w:tcW w:w="102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500</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500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500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500 </w:t>
            </w:r>
          </w:p>
        </w:tc>
        <w:tc>
          <w:tcPr>
            <w:tcW w:w="78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500 </w:t>
            </w:r>
          </w:p>
        </w:tc>
        <w:tc>
          <w:tcPr>
            <w:tcW w:w="820" w:type="dxa"/>
            <w:tcBorders>
              <w:top w:val="nil"/>
              <w:left w:val="nil"/>
              <w:bottom w:val="single" w:sz="4" w:space="0" w:color="auto"/>
              <w:right w:val="single" w:sz="4"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500 </w:t>
            </w:r>
          </w:p>
        </w:tc>
        <w:tc>
          <w:tcPr>
            <w:tcW w:w="980" w:type="dxa"/>
            <w:tcBorders>
              <w:top w:val="nil"/>
              <w:left w:val="nil"/>
              <w:bottom w:val="single" w:sz="4" w:space="0" w:color="auto"/>
              <w:right w:val="single" w:sz="8"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3,000 </w:t>
            </w:r>
          </w:p>
        </w:tc>
      </w:tr>
      <w:tr w:rsidR="00EA4C75" w:rsidRPr="00EA4C75" w:rsidTr="00CA3FE7">
        <w:trPr>
          <w:trHeight w:val="450"/>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A4C75" w:rsidRPr="00EA4C75" w:rsidRDefault="00CA3FE7" w:rsidP="00EA4C75">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Credits eligible to be </w:t>
            </w:r>
            <w:r w:rsidRPr="00A12CF3">
              <w:rPr>
                <w:rFonts w:ascii="Calibri" w:eastAsia="Times New Roman" w:hAnsi="Calibri" w:cs="Times New Roman"/>
                <w:color w:val="000000"/>
                <w:sz w:val="16"/>
                <w:szCs w:val="16"/>
              </w:rPr>
              <w:t>conve</w:t>
            </w:r>
            <w:r>
              <w:rPr>
                <w:rFonts w:ascii="Calibri" w:eastAsia="Times New Roman" w:hAnsi="Calibri" w:cs="Times New Roman"/>
                <w:color w:val="000000"/>
                <w:sz w:val="16"/>
                <w:szCs w:val="16"/>
              </w:rPr>
              <w:t>r</w:t>
            </w:r>
            <w:r w:rsidRPr="00A12CF3">
              <w:rPr>
                <w:rFonts w:ascii="Calibri" w:eastAsia="Times New Roman" w:hAnsi="Calibri" w:cs="Times New Roman"/>
                <w:color w:val="000000"/>
                <w:sz w:val="16"/>
                <w:szCs w:val="16"/>
              </w:rPr>
              <w:t xml:space="preserve">ted </w:t>
            </w:r>
            <w:r>
              <w:rPr>
                <w:rFonts w:ascii="Calibri" w:eastAsia="Times New Roman" w:hAnsi="Calibri" w:cs="Times New Roman"/>
                <w:color w:val="000000"/>
                <w:sz w:val="16"/>
                <w:szCs w:val="16"/>
              </w:rPr>
              <w:t>to ARB offset credits</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w:t>
            </w:r>
            <w:r w:rsidR="00CA3FE7">
              <w:rPr>
                <w:rFonts w:ascii="Calibri" w:eastAsia="Times New Roman" w:hAnsi="Calibri" w:cs="Times New Roman"/>
                <w:color w:val="000000"/>
                <w:sz w:val="16"/>
                <w:szCs w:val="16"/>
              </w:rPr>
              <w:t>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75" w:rsidRPr="00EA4C75" w:rsidRDefault="00CA3FE7" w:rsidP="00EA4C75">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75" w:rsidRPr="00EA4C75" w:rsidRDefault="00CA3FE7" w:rsidP="00EA4C75">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75" w:rsidRPr="00EA4C75" w:rsidRDefault="00CA3FE7" w:rsidP="00EA4C75">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75" w:rsidRPr="00EA4C75" w:rsidRDefault="00CA3FE7" w:rsidP="00EA4C75">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4C75" w:rsidRPr="00EA4C75" w:rsidRDefault="00CA3FE7" w:rsidP="00EA4C75">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980" w:type="dxa"/>
            <w:tcBorders>
              <w:top w:val="nil"/>
              <w:left w:val="nil"/>
              <w:bottom w:val="single" w:sz="4" w:space="0" w:color="auto"/>
              <w:right w:val="single" w:sz="8" w:space="0" w:color="auto"/>
            </w:tcBorders>
            <w:shd w:val="clear" w:color="auto" w:fill="auto"/>
            <w:vAlign w:val="bottom"/>
            <w:hideMark/>
          </w:tcPr>
          <w:p w:rsidR="00EA4C75" w:rsidRPr="00EA4C75" w:rsidRDefault="00EA4C75" w:rsidP="00EA4C75">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               6,000 </w:t>
            </w:r>
          </w:p>
        </w:tc>
      </w:tr>
      <w:tr w:rsidR="00EA4C75" w:rsidRPr="00EA4C75" w:rsidTr="00EA4C75">
        <w:trPr>
          <w:trHeight w:val="300"/>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A4C75" w:rsidRPr="00EA4C75" w:rsidRDefault="00EA4C75" w:rsidP="00EA4C75">
            <w:pPr>
              <w:spacing w:after="0" w:line="240" w:lineRule="auto"/>
              <w:jc w:val="right"/>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xml:space="preserve">Credits to </w:t>
            </w:r>
            <w:r w:rsidR="00CA3FE7">
              <w:rPr>
                <w:rFonts w:ascii="Calibri" w:eastAsia="Times New Roman" w:hAnsi="Calibri" w:cs="Times New Roman"/>
                <w:color w:val="000000"/>
                <w:sz w:val="16"/>
                <w:szCs w:val="16"/>
              </w:rPr>
              <w:t xml:space="preserve">difference </w:t>
            </w:r>
            <w:r w:rsidRPr="00EA4C75">
              <w:rPr>
                <w:rFonts w:ascii="Calibri" w:eastAsia="Times New Roman" w:hAnsi="Calibri" w:cs="Times New Roman"/>
                <w:color w:val="000000"/>
                <w:sz w:val="16"/>
                <w:szCs w:val="16"/>
              </w:rPr>
              <w:t xml:space="preserve">be Issued at Transition Date </w:t>
            </w:r>
          </w:p>
        </w:tc>
        <w:tc>
          <w:tcPr>
            <w:tcW w:w="4960" w:type="dxa"/>
            <w:gridSpan w:val="6"/>
            <w:tcBorders>
              <w:top w:val="single" w:sz="4" w:space="0" w:color="auto"/>
              <w:left w:val="nil"/>
              <w:bottom w:val="single" w:sz="4" w:space="0" w:color="auto"/>
              <w:right w:val="single" w:sz="4" w:space="0" w:color="000000"/>
            </w:tcBorders>
            <w:shd w:val="clear" w:color="000000" w:fill="D9D9D9"/>
            <w:vAlign w:val="bottom"/>
            <w:hideMark/>
          </w:tcPr>
          <w:p w:rsidR="00EA4C75" w:rsidRPr="00EA4C75" w:rsidRDefault="00EA4C75" w:rsidP="00EA4C75">
            <w:pPr>
              <w:spacing w:after="0" w:line="240" w:lineRule="auto"/>
              <w:jc w:val="center"/>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 </w:t>
            </w:r>
          </w:p>
        </w:tc>
        <w:tc>
          <w:tcPr>
            <w:tcW w:w="980" w:type="dxa"/>
            <w:tcBorders>
              <w:top w:val="nil"/>
              <w:left w:val="nil"/>
              <w:bottom w:val="single" w:sz="4" w:space="0" w:color="auto"/>
              <w:right w:val="single" w:sz="8" w:space="0" w:color="auto"/>
            </w:tcBorders>
            <w:shd w:val="clear" w:color="auto" w:fill="auto"/>
            <w:vAlign w:val="bottom"/>
            <w:hideMark/>
          </w:tcPr>
          <w:p w:rsidR="00EA4C75" w:rsidRPr="00EA4C75" w:rsidRDefault="00EA4C75" w:rsidP="00CA3FE7">
            <w:pPr>
              <w:spacing w:after="0" w:line="240" w:lineRule="auto"/>
              <w:rPr>
                <w:rFonts w:ascii="Calibri" w:eastAsia="Times New Roman" w:hAnsi="Calibri" w:cs="Times New Roman"/>
                <w:color w:val="000000"/>
                <w:sz w:val="16"/>
                <w:szCs w:val="16"/>
              </w:rPr>
            </w:pPr>
            <w:r w:rsidRPr="00EA4C75">
              <w:rPr>
                <w:rFonts w:ascii="Calibri" w:eastAsia="Times New Roman" w:hAnsi="Calibri" w:cs="Times New Roman"/>
                <w:color w:val="000000"/>
                <w:sz w:val="16"/>
                <w:szCs w:val="16"/>
              </w:rPr>
              <w:t>0</w:t>
            </w:r>
          </w:p>
        </w:tc>
      </w:tr>
      <w:tr w:rsidR="00EA4C75" w:rsidRPr="00EA4C75" w:rsidTr="00EA4C75">
        <w:trPr>
          <w:trHeight w:val="465"/>
        </w:trPr>
        <w:tc>
          <w:tcPr>
            <w:tcW w:w="9440" w:type="dxa"/>
            <w:gridSpan w:val="8"/>
            <w:tcBorders>
              <w:top w:val="single" w:sz="4" w:space="0" w:color="auto"/>
              <w:left w:val="single" w:sz="8" w:space="0" w:color="auto"/>
              <w:bottom w:val="single" w:sz="8" w:space="0" w:color="auto"/>
              <w:right w:val="single" w:sz="8" w:space="0" w:color="000000"/>
            </w:tcBorders>
            <w:shd w:val="clear" w:color="auto" w:fill="auto"/>
            <w:hideMark/>
          </w:tcPr>
          <w:p w:rsidR="00EA4C75" w:rsidRPr="00EA4C75" w:rsidRDefault="00CA3FE7" w:rsidP="00CA3FE7">
            <w:pPr>
              <w:spacing w:after="0" w:line="240" w:lineRule="auto"/>
              <w:rPr>
                <w:rFonts w:ascii="Calibri" w:eastAsia="Times New Roman" w:hAnsi="Calibri" w:cs="Times New Roman"/>
                <w:color w:val="000000"/>
                <w:sz w:val="16"/>
                <w:szCs w:val="16"/>
              </w:rPr>
            </w:pPr>
            <w:r w:rsidRPr="00A12CF3">
              <w:rPr>
                <w:rFonts w:ascii="Calibri" w:eastAsia="Times New Roman" w:hAnsi="Calibri" w:cs="Times New Roman"/>
                <w:color w:val="000000"/>
                <w:sz w:val="16"/>
                <w:szCs w:val="16"/>
              </w:rPr>
              <w:t xml:space="preserve">Credits under the compliance protocol are calculated per </w:t>
            </w:r>
            <w:r>
              <w:rPr>
                <w:rFonts w:ascii="Calibri" w:eastAsia="Times New Roman" w:hAnsi="Calibri" w:cs="Times New Roman"/>
                <w:color w:val="000000"/>
                <w:sz w:val="16"/>
                <w:szCs w:val="16"/>
              </w:rPr>
              <w:t>the COP</w:t>
            </w:r>
            <w:r w:rsidRPr="00A12CF3">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Actual credits issued must include where appropriate adjustments for</w:t>
            </w:r>
            <w:r w:rsidRPr="00A12CF3">
              <w:rPr>
                <w:rFonts w:ascii="Calibri" w:eastAsia="Times New Roman" w:hAnsi="Calibri" w:cs="Times New Roman"/>
                <w:color w:val="000000"/>
                <w:sz w:val="16"/>
                <w:szCs w:val="16"/>
              </w:rPr>
              <w:t xml:space="preserve"> confidence deductions, buffer pool contributions, leakage calculations, and restricted to eligible carbon pools.</w:t>
            </w:r>
          </w:p>
        </w:tc>
      </w:tr>
    </w:tbl>
    <w:p w:rsidR="005D7B71" w:rsidRPr="008E2C69" w:rsidRDefault="005D7B71" w:rsidP="003928AD">
      <w:pPr>
        <w:pStyle w:val="Heading1"/>
        <w:numPr>
          <w:ilvl w:val="0"/>
          <w:numId w:val="12"/>
        </w:numPr>
        <w:rPr>
          <w:rFonts w:ascii="Arial" w:hAnsi="Arial" w:cs="Arial"/>
        </w:rPr>
      </w:pPr>
      <w:bookmarkStart w:id="35" w:name="_Toc414534279"/>
      <w:r w:rsidRPr="008E2C69">
        <w:rPr>
          <w:rFonts w:ascii="Arial" w:hAnsi="Arial" w:cs="Arial"/>
        </w:rPr>
        <w:t xml:space="preserve">Transitioning </w:t>
      </w:r>
      <w:r w:rsidR="00773B26">
        <w:rPr>
          <w:rFonts w:ascii="Arial" w:hAnsi="Arial" w:cs="Arial"/>
        </w:rPr>
        <w:t>Early Action</w:t>
      </w:r>
      <w:r w:rsidR="00A3698F" w:rsidRPr="008E2C69">
        <w:rPr>
          <w:rFonts w:ascii="Arial" w:hAnsi="Arial" w:cs="Arial"/>
        </w:rPr>
        <w:t xml:space="preserve"> Forest Project Protocol Version </w:t>
      </w:r>
      <w:r w:rsidRPr="008E2C69">
        <w:rPr>
          <w:rFonts w:ascii="Arial" w:hAnsi="Arial" w:cs="Arial"/>
        </w:rPr>
        <w:t>3.x Reforestation Projects</w:t>
      </w:r>
      <w:bookmarkEnd w:id="35"/>
    </w:p>
    <w:p w:rsidR="00AF62AF" w:rsidRPr="007368C9" w:rsidRDefault="0071308D" w:rsidP="00451798">
      <w:pPr>
        <w:ind w:left="360"/>
        <w:rPr>
          <w:rFonts w:ascii="Arial" w:hAnsi="Arial" w:cs="Arial"/>
          <w:sz w:val="24"/>
          <w:szCs w:val="24"/>
        </w:rPr>
      </w:pPr>
      <w:r>
        <w:rPr>
          <w:rFonts w:ascii="Arial" w:hAnsi="Arial" w:cs="Arial"/>
          <w:sz w:val="24"/>
          <w:szCs w:val="24"/>
        </w:rPr>
        <w:t>This section of the guidance is a</w:t>
      </w:r>
      <w:r w:rsidR="00AF62AF" w:rsidRPr="007368C9">
        <w:rPr>
          <w:rFonts w:ascii="Arial" w:hAnsi="Arial" w:cs="Arial"/>
          <w:sz w:val="24"/>
          <w:szCs w:val="24"/>
        </w:rPr>
        <w:t xml:space="preserve">pplicable to </w:t>
      </w:r>
      <w:r w:rsidR="004A7725" w:rsidRPr="007368C9">
        <w:rPr>
          <w:rFonts w:ascii="Arial" w:hAnsi="Arial" w:cs="Arial"/>
          <w:sz w:val="24"/>
          <w:szCs w:val="24"/>
        </w:rPr>
        <w:t>CAR</w:t>
      </w:r>
      <w:r w:rsidR="00A3698F" w:rsidRPr="007368C9">
        <w:rPr>
          <w:rFonts w:ascii="Arial" w:hAnsi="Arial" w:cs="Arial"/>
          <w:sz w:val="24"/>
          <w:szCs w:val="24"/>
        </w:rPr>
        <w:t xml:space="preserve"> Forest Project Protocol </w:t>
      </w:r>
      <w:r w:rsidR="00AF62AF" w:rsidRPr="007368C9">
        <w:rPr>
          <w:rFonts w:ascii="Arial" w:hAnsi="Arial" w:cs="Arial"/>
          <w:sz w:val="24"/>
          <w:szCs w:val="24"/>
        </w:rPr>
        <w:t>Ver</w:t>
      </w:r>
      <w:r w:rsidR="00A3698F" w:rsidRPr="007368C9">
        <w:rPr>
          <w:rFonts w:ascii="Arial" w:hAnsi="Arial" w:cs="Arial"/>
          <w:sz w:val="24"/>
          <w:szCs w:val="24"/>
        </w:rPr>
        <w:t>sion 3.x Reforestation projects.</w:t>
      </w:r>
    </w:p>
    <w:p w:rsidR="009A518E" w:rsidRPr="008E2C69" w:rsidRDefault="00AF62AF" w:rsidP="007B525D">
      <w:pPr>
        <w:ind w:left="360"/>
        <w:rPr>
          <w:rFonts w:ascii="Arial" w:hAnsi="Arial" w:cs="Arial"/>
          <w:sz w:val="24"/>
          <w:szCs w:val="24"/>
        </w:rPr>
      </w:pPr>
      <w:r w:rsidRPr="008E2C69">
        <w:rPr>
          <w:rFonts w:ascii="Arial" w:hAnsi="Arial" w:cs="Arial"/>
          <w:sz w:val="24"/>
          <w:szCs w:val="24"/>
        </w:rPr>
        <w:t xml:space="preserve">The </w:t>
      </w:r>
      <w:r w:rsidR="00A3698F" w:rsidRPr="008E2C69">
        <w:rPr>
          <w:rFonts w:ascii="Arial" w:hAnsi="Arial" w:cs="Arial"/>
          <w:sz w:val="24"/>
          <w:szCs w:val="24"/>
        </w:rPr>
        <w:t>COP</w:t>
      </w:r>
      <w:r w:rsidRPr="008E2C69">
        <w:rPr>
          <w:rFonts w:ascii="Arial" w:hAnsi="Arial" w:cs="Arial"/>
          <w:sz w:val="24"/>
          <w:szCs w:val="24"/>
        </w:rPr>
        <w:t xml:space="preserve"> will establish the basis for determining project crediting following the transition date.  </w:t>
      </w:r>
      <w:r w:rsidR="009A518E" w:rsidRPr="008E2C69">
        <w:rPr>
          <w:rFonts w:ascii="Arial" w:hAnsi="Arial" w:cs="Arial"/>
          <w:sz w:val="24"/>
          <w:szCs w:val="24"/>
        </w:rPr>
        <w:t xml:space="preserve">The act of transitioning </w:t>
      </w:r>
      <w:r w:rsidR="0071308D">
        <w:rPr>
          <w:rFonts w:ascii="Arial" w:hAnsi="Arial" w:cs="Arial"/>
          <w:sz w:val="24"/>
          <w:szCs w:val="24"/>
        </w:rPr>
        <w:t>an</w:t>
      </w:r>
      <w:r w:rsidR="0071308D" w:rsidRPr="008E2C69">
        <w:rPr>
          <w:rFonts w:ascii="Arial" w:hAnsi="Arial" w:cs="Arial"/>
          <w:sz w:val="24"/>
          <w:szCs w:val="24"/>
        </w:rPr>
        <w:t xml:space="preserve"> </w:t>
      </w:r>
      <w:r w:rsidR="009A518E" w:rsidRPr="008E2C69">
        <w:rPr>
          <w:rFonts w:ascii="Arial" w:hAnsi="Arial" w:cs="Arial"/>
          <w:sz w:val="24"/>
          <w:szCs w:val="24"/>
        </w:rPr>
        <w:t>e</w:t>
      </w:r>
      <w:r w:rsidRPr="008E2C69">
        <w:rPr>
          <w:rFonts w:ascii="Arial" w:hAnsi="Arial" w:cs="Arial"/>
          <w:sz w:val="24"/>
          <w:szCs w:val="24"/>
        </w:rPr>
        <w:t xml:space="preserve">arly action </w:t>
      </w:r>
      <w:r w:rsidR="009A518E" w:rsidRPr="008E2C69">
        <w:rPr>
          <w:rFonts w:ascii="Arial" w:hAnsi="Arial" w:cs="Arial"/>
          <w:sz w:val="24"/>
          <w:szCs w:val="24"/>
        </w:rPr>
        <w:t>r</w:t>
      </w:r>
      <w:r w:rsidRPr="008E2C69">
        <w:rPr>
          <w:rFonts w:ascii="Arial" w:hAnsi="Arial" w:cs="Arial"/>
          <w:sz w:val="24"/>
          <w:szCs w:val="24"/>
        </w:rPr>
        <w:t>eforestation project must ensure that the carbon pools included in the project’s baseline inclu</w:t>
      </w:r>
      <w:r w:rsidR="00923957" w:rsidRPr="008E2C69">
        <w:rPr>
          <w:rFonts w:ascii="Arial" w:hAnsi="Arial" w:cs="Arial"/>
          <w:sz w:val="24"/>
          <w:szCs w:val="24"/>
        </w:rPr>
        <w:t xml:space="preserve">de only the carbon pools </w:t>
      </w:r>
      <w:r w:rsidR="004A7725" w:rsidRPr="008E2C69">
        <w:rPr>
          <w:rFonts w:ascii="Arial" w:hAnsi="Arial" w:cs="Arial"/>
          <w:sz w:val="24"/>
          <w:szCs w:val="24"/>
        </w:rPr>
        <w:t>allowed</w:t>
      </w:r>
      <w:r w:rsidRPr="008E2C69">
        <w:rPr>
          <w:rFonts w:ascii="Arial" w:hAnsi="Arial" w:cs="Arial"/>
          <w:sz w:val="24"/>
          <w:szCs w:val="24"/>
        </w:rPr>
        <w:t xml:space="preserve"> </w:t>
      </w:r>
      <w:r w:rsidR="004A7725" w:rsidRPr="008E2C69">
        <w:rPr>
          <w:rFonts w:ascii="Arial" w:hAnsi="Arial" w:cs="Arial"/>
          <w:sz w:val="24"/>
          <w:szCs w:val="24"/>
        </w:rPr>
        <w:t>under</w:t>
      </w:r>
      <w:r w:rsidRPr="008E2C69">
        <w:rPr>
          <w:rFonts w:ascii="Arial" w:hAnsi="Arial" w:cs="Arial"/>
          <w:sz w:val="24"/>
          <w:szCs w:val="24"/>
        </w:rPr>
        <w:t xml:space="preserve"> the COP.</w:t>
      </w:r>
      <w:r w:rsidR="00A3698F" w:rsidRPr="008E2C69">
        <w:rPr>
          <w:rFonts w:ascii="Arial" w:hAnsi="Arial" w:cs="Arial"/>
          <w:sz w:val="24"/>
          <w:szCs w:val="24"/>
        </w:rPr>
        <w:t xml:space="preserve"> </w:t>
      </w:r>
      <w:r w:rsidRPr="008E2C69">
        <w:rPr>
          <w:rFonts w:ascii="Arial" w:hAnsi="Arial" w:cs="Arial"/>
          <w:sz w:val="24"/>
          <w:szCs w:val="24"/>
        </w:rPr>
        <w:t xml:space="preserve"> </w:t>
      </w:r>
      <w:r w:rsidR="00923957" w:rsidRPr="008E2C69">
        <w:rPr>
          <w:rFonts w:ascii="Arial" w:hAnsi="Arial" w:cs="Arial"/>
          <w:sz w:val="24"/>
          <w:szCs w:val="24"/>
        </w:rPr>
        <w:t xml:space="preserve">If the project was issued more </w:t>
      </w:r>
      <w:r w:rsidR="00A3698F" w:rsidRPr="008E2C69">
        <w:rPr>
          <w:rFonts w:ascii="Arial" w:hAnsi="Arial" w:cs="Arial"/>
          <w:sz w:val="24"/>
          <w:szCs w:val="24"/>
        </w:rPr>
        <w:t xml:space="preserve">early action offset </w:t>
      </w:r>
      <w:r w:rsidR="00923957" w:rsidRPr="008E2C69">
        <w:rPr>
          <w:rFonts w:ascii="Arial" w:hAnsi="Arial" w:cs="Arial"/>
          <w:sz w:val="24"/>
          <w:szCs w:val="24"/>
        </w:rPr>
        <w:t xml:space="preserve">credits under the early action </w:t>
      </w:r>
      <w:r w:rsidR="00A3698F" w:rsidRPr="008E2C69">
        <w:rPr>
          <w:rFonts w:ascii="Arial" w:hAnsi="Arial" w:cs="Arial"/>
          <w:sz w:val="24"/>
          <w:szCs w:val="24"/>
        </w:rPr>
        <w:t>offset protocol</w:t>
      </w:r>
      <w:r w:rsidR="00923957" w:rsidRPr="008E2C69">
        <w:rPr>
          <w:rFonts w:ascii="Arial" w:hAnsi="Arial" w:cs="Arial"/>
          <w:sz w:val="24"/>
          <w:szCs w:val="24"/>
        </w:rPr>
        <w:t xml:space="preserve"> than are calculated </w:t>
      </w:r>
      <w:r w:rsidR="00A3698F" w:rsidRPr="008E2C69">
        <w:rPr>
          <w:rFonts w:ascii="Arial" w:hAnsi="Arial" w:cs="Arial"/>
          <w:sz w:val="24"/>
          <w:szCs w:val="24"/>
        </w:rPr>
        <w:t xml:space="preserve">using the COP, the project may transition all their early action offset credits.  </w:t>
      </w:r>
      <w:r w:rsidR="004A7725" w:rsidRPr="008E2C69">
        <w:rPr>
          <w:rFonts w:ascii="Arial" w:hAnsi="Arial" w:cs="Arial"/>
          <w:sz w:val="24"/>
          <w:szCs w:val="24"/>
        </w:rPr>
        <w:t xml:space="preserve">Following the transition date, future increases in project inventory (growth) are credited according to the </w:t>
      </w:r>
      <w:r w:rsidR="00984566">
        <w:rPr>
          <w:rFonts w:ascii="Arial" w:hAnsi="Arial" w:cs="Arial"/>
          <w:sz w:val="24"/>
          <w:szCs w:val="24"/>
        </w:rPr>
        <w:t xml:space="preserve">reported values using the methodology in the </w:t>
      </w:r>
      <w:r w:rsidR="004A7725" w:rsidRPr="008E2C69">
        <w:rPr>
          <w:rFonts w:ascii="Arial" w:hAnsi="Arial" w:cs="Arial"/>
          <w:sz w:val="24"/>
          <w:szCs w:val="24"/>
        </w:rPr>
        <w:t>COP</w:t>
      </w:r>
      <w:r w:rsidR="0071308D">
        <w:rPr>
          <w:rFonts w:ascii="Arial" w:hAnsi="Arial" w:cs="Arial"/>
          <w:sz w:val="24"/>
          <w:szCs w:val="24"/>
        </w:rPr>
        <w:t>.</w:t>
      </w:r>
      <w:r w:rsidR="00984566">
        <w:rPr>
          <w:rStyle w:val="FootnoteReference"/>
          <w:rFonts w:ascii="Arial" w:hAnsi="Arial" w:cs="Arial"/>
          <w:sz w:val="24"/>
          <w:szCs w:val="24"/>
        </w:rPr>
        <w:footnoteReference w:id="13"/>
      </w:r>
      <w:r w:rsidR="001C6780" w:rsidRPr="008E2C69">
        <w:rPr>
          <w:rFonts w:ascii="Arial" w:hAnsi="Arial" w:cs="Arial"/>
          <w:sz w:val="24"/>
          <w:szCs w:val="24"/>
        </w:rPr>
        <w:t xml:space="preserve"> </w:t>
      </w:r>
      <w:r w:rsidR="004A7725" w:rsidRPr="008E2C69">
        <w:rPr>
          <w:rFonts w:ascii="Arial" w:hAnsi="Arial" w:cs="Arial"/>
          <w:sz w:val="24"/>
          <w:szCs w:val="24"/>
        </w:rPr>
        <w:t xml:space="preserve"> </w:t>
      </w:r>
      <w:r w:rsidR="00923957" w:rsidRPr="008E2C69">
        <w:rPr>
          <w:rFonts w:ascii="Arial" w:hAnsi="Arial" w:cs="Arial"/>
          <w:sz w:val="24"/>
          <w:szCs w:val="24"/>
        </w:rPr>
        <w:t xml:space="preserve">If the project was issued fewer </w:t>
      </w:r>
      <w:r w:rsidR="00A3698F" w:rsidRPr="008E2C69">
        <w:rPr>
          <w:rFonts w:ascii="Arial" w:hAnsi="Arial" w:cs="Arial"/>
          <w:sz w:val="24"/>
          <w:szCs w:val="24"/>
        </w:rPr>
        <w:t>early action offset</w:t>
      </w:r>
      <w:r w:rsidR="00923957" w:rsidRPr="008E2C69">
        <w:rPr>
          <w:rFonts w:ascii="Arial" w:hAnsi="Arial" w:cs="Arial"/>
          <w:sz w:val="24"/>
          <w:szCs w:val="24"/>
        </w:rPr>
        <w:t xml:space="preserve"> credits under the early action </w:t>
      </w:r>
      <w:r w:rsidR="001C6780" w:rsidRPr="008E2C69">
        <w:rPr>
          <w:rFonts w:ascii="Arial" w:hAnsi="Arial" w:cs="Arial"/>
          <w:sz w:val="24"/>
          <w:szCs w:val="24"/>
        </w:rPr>
        <w:t xml:space="preserve">offset </w:t>
      </w:r>
      <w:r w:rsidR="00A3698F" w:rsidRPr="008E2C69">
        <w:rPr>
          <w:rFonts w:ascii="Arial" w:hAnsi="Arial" w:cs="Arial"/>
          <w:sz w:val="24"/>
          <w:szCs w:val="24"/>
        </w:rPr>
        <w:t>protocol</w:t>
      </w:r>
      <w:r w:rsidR="00923957" w:rsidRPr="008E2C69">
        <w:rPr>
          <w:rFonts w:ascii="Arial" w:hAnsi="Arial" w:cs="Arial"/>
          <w:sz w:val="24"/>
          <w:szCs w:val="24"/>
        </w:rPr>
        <w:t xml:space="preserve"> than are calculated </w:t>
      </w:r>
      <w:r w:rsidR="00A3698F" w:rsidRPr="008E2C69">
        <w:rPr>
          <w:rFonts w:ascii="Arial" w:hAnsi="Arial" w:cs="Arial"/>
          <w:sz w:val="24"/>
          <w:szCs w:val="24"/>
        </w:rPr>
        <w:t>using</w:t>
      </w:r>
      <w:r w:rsidR="00923957" w:rsidRPr="008E2C69">
        <w:rPr>
          <w:rFonts w:ascii="Arial" w:hAnsi="Arial" w:cs="Arial"/>
          <w:sz w:val="24"/>
          <w:szCs w:val="24"/>
        </w:rPr>
        <w:t xml:space="preserve"> the COP, </w:t>
      </w:r>
      <w:r w:rsidR="00A3698F" w:rsidRPr="008E2C69">
        <w:rPr>
          <w:rFonts w:ascii="Arial" w:hAnsi="Arial" w:cs="Arial"/>
          <w:sz w:val="24"/>
          <w:szCs w:val="24"/>
        </w:rPr>
        <w:t xml:space="preserve">the project will be issued the balance, accounting for any ARB Forest Buffer Pool contribution required by the COP, upon </w:t>
      </w:r>
      <w:r w:rsidR="001C6780" w:rsidRPr="008E2C69">
        <w:rPr>
          <w:rFonts w:ascii="Arial" w:hAnsi="Arial" w:cs="Arial"/>
          <w:sz w:val="24"/>
          <w:szCs w:val="24"/>
        </w:rPr>
        <w:t>the</w:t>
      </w:r>
      <w:r w:rsidR="00A3698F" w:rsidRPr="008E2C69">
        <w:rPr>
          <w:rFonts w:ascii="Arial" w:hAnsi="Arial" w:cs="Arial"/>
          <w:sz w:val="24"/>
          <w:szCs w:val="24"/>
        </w:rPr>
        <w:t xml:space="preserve"> receipt of a positive </w:t>
      </w:r>
      <w:r w:rsidR="001C6780" w:rsidRPr="008E2C69">
        <w:rPr>
          <w:rFonts w:ascii="Arial" w:hAnsi="Arial" w:cs="Arial"/>
          <w:sz w:val="24"/>
          <w:szCs w:val="24"/>
        </w:rPr>
        <w:t>OVS</w:t>
      </w:r>
      <w:r w:rsidR="00A3698F" w:rsidRPr="008E2C69">
        <w:rPr>
          <w:rFonts w:ascii="Arial" w:hAnsi="Arial" w:cs="Arial"/>
          <w:sz w:val="24"/>
          <w:szCs w:val="24"/>
        </w:rPr>
        <w:t xml:space="preserve"> </w:t>
      </w:r>
      <w:r w:rsidR="001C6780" w:rsidRPr="008E2C69">
        <w:rPr>
          <w:rFonts w:ascii="Arial" w:hAnsi="Arial" w:cs="Arial"/>
          <w:sz w:val="24"/>
          <w:szCs w:val="24"/>
        </w:rPr>
        <w:t>for</w:t>
      </w:r>
      <w:r w:rsidR="00A3698F" w:rsidRPr="008E2C69">
        <w:rPr>
          <w:rFonts w:ascii="Arial" w:hAnsi="Arial" w:cs="Arial"/>
          <w:sz w:val="24"/>
          <w:szCs w:val="24"/>
        </w:rPr>
        <w:t xml:space="preserve"> the initial OPDR</w:t>
      </w:r>
      <w:r w:rsidR="0071308D">
        <w:rPr>
          <w:rFonts w:ascii="Arial" w:hAnsi="Arial" w:cs="Arial"/>
          <w:sz w:val="24"/>
          <w:szCs w:val="24"/>
        </w:rPr>
        <w:t>.</w:t>
      </w:r>
      <w:r w:rsidR="009D3B4D">
        <w:rPr>
          <w:rStyle w:val="FootnoteReference"/>
          <w:rFonts w:ascii="Arial" w:hAnsi="Arial" w:cs="Arial"/>
          <w:sz w:val="24"/>
          <w:szCs w:val="24"/>
        </w:rPr>
        <w:footnoteReference w:id="14"/>
      </w:r>
      <w:r w:rsidR="00A3698F" w:rsidRPr="008E2C69">
        <w:rPr>
          <w:rFonts w:ascii="Arial" w:hAnsi="Arial" w:cs="Arial"/>
          <w:sz w:val="24"/>
          <w:szCs w:val="24"/>
        </w:rPr>
        <w:t xml:space="preserve">  </w:t>
      </w:r>
      <w:r w:rsidR="001C6780" w:rsidRPr="008E2C69">
        <w:rPr>
          <w:rFonts w:ascii="Arial" w:hAnsi="Arial" w:cs="Arial"/>
          <w:sz w:val="24"/>
          <w:szCs w:val="24"/>
        </w:rPr>
        <w:t>Following the transition date, future increases in project inventory (growth) are credited according to the COP</w:t>
      </w:r>
      <w:r w:rsidR="00A3698F" w:rsidRPr="008E2C69">
        <w:rPr>
          <w:rFonts w:ascii="Arial" w:hAnsi="Arial" w:cs="Arial"/>
          <w:sz w:val="24"/>
          <w:szCs w:val="24"/>
        </w:rPr>
        <w:t>.</w:t>
      </w:r>
    </w:p>
    <w:p w:rsidR="009A518E" w:rsidRPr="008E2C69" w:rsidRDefault="009A518E" w:rsidP="007B525D">
      <w:pPr>
        <w:pStyle w:val="Heading1"/>
        <w:numPr>
          <w:ilvl w:val="0"/>
          <w:numId w:val="12"/>
        </w:numPr>
        <w:ind w:left="720"/>
        <w:rPr>
          <w:rFonts w:ascii="Arial" w:hAnsi="Arial" w:cs="Arial"/>
        </w:rPr>
      </w:pPr>
      <w:bookmarkStart w:id="36" w:name="_Toc414534280"/>
      <w:r w:rsidRPr="008E2C69">
        <w:rPr>
          <w:rFonts w:ascii="Arial" w:hAnsi="Arial" w:cs="Arial"/>
        </w:rPr>
        <w:t xml:space="preserve">Transitioning </w:t>
      </w:r>
      <w:r w:rsidR="00773B26">
        <w:rPr>
          <w:rFonts w:ascii="Arial" w:hAnsi="Arial" w:cs="Arial"/>
        </w:rPr>
        <w:t>Early Action</w:t>
      </w:r>
      <w:r w:rsidR="00A3698F" w:rsidRPr="008E2C69">
        <w:rPr>
          <w:rFonts w:ascii="Arial" w:hAnsi="Arial" w:cs="Arial"/>
        </w:rPr>
        <w:t xml:space="preserve"> Forest Project Protocol Version </w:t>
      </w:r>
      <w:r w:rsidRPr="008E2C69">
        <w:rPr>
          <w:rFonts w:ascii="Arial" w:hAnsi="Arial" w:cs="Arial"/>
        </w:rPr>
        <w:t>3.x Avoided Conversion Projects</w:t>
      </w:r>
      <w:bookmarkEnd w:id="36"/>
    </w:p>
    <w:p w:rsidR="009A518E" w:rsidRPr="007368C9" w:rsidRDefault="0071308D" w:rsidP="00451798">
      <w:pPr>
        <w:ind w:left="720"/>
        <w:rPr>
          <w:rFonts w:ascii="Arial" w:hAnsi="Arial" w:cs="Arial"/>
          <w:sz w:val="24"/>
          <w:szCs w:val="24"/>
        </w:rPr>
      </w:pPr>
      <w:r>
        <w:rPr>
          <w:rFonts w:ascii="Arial" w:hAnsi="Arial" w:cs="Arial"/>
          <w:sz w:val="24"/>
          <w:szCs w:val="24"/>
        </w:rPr>
        <w:t>This section of the guidance is a</w:t>
      </w:r>
      <w:r w:rsidR="00A3698F" w:rsidRPr="007368C9">
        <w:rPr>
          <w:rFonts w:ascii="Arial" w:hAnsi="Arial" w:cs="Arial"/>
          <w:sz w:val="24"/>
          <w:szCs w:val="24"/>
        </w:rPr>
        <w:t xml:space="preserve">pplicable to </w:t>
      </w:r>
      <w:r w:rsidR="001C6780" w:rsidRPr="007368C9">
        <w:rPr>
          <w:rFonts w:ascii="Arial" w:hAnsi="Arial" w:cs="Arial"/>
          <w:sz w:val="24"/>
          <w:szCs w:val="24"/>
        </w:rPr>
        <w:t>CAR</w:t>
      </w:r>
      <w:r w:rsidR="00A3698F" w:rsidRPr="007368C9">
        <w:rPr>
          <w:rFonts w:ascii="Arial" w:hAnsi="Arial" w:cs="Arial"/>
          <w:sz w:val="24"/>
          <w:szCs w:val="24"/>
        </w:rPr>
        <w:t xml:space="preserve"> Forest Project Protocol Version 3.x </w:t>
      </w:r>
      <w:r w:rsidR="009A518E" w:rsidRPr="007368C9">
        <w:rPr>
          <w:rFonts w:ascii="Arial" w:hAnsi="Arial" w:cs="Arial"/>
          <w:sz w:val="24"/>
          <w:szCs w:val="24"/>
        </w:rPr>
        <w:t>Avoided Conve</w:t>
      </w:r>
      <w:r w:rsidR="008E2C69">
        <w:rPr>
          <w:rFonts w:ascii="Arial" w:hAnsi="Arial" w:cs="Arial"/>
          <w:sz w:val="24"/>
          <w:szCs w:val="24"/>
        </w:rPr>
        <w:t xml:space="preserve">rsion </w:t>
      </w:r>
      <w:r w:rsidR="00A3698F" w:rsidRPr="007368C9">
        <w:rPr>
          <w:rFonts w:ascii="Arial" w:hAnsi="Arial" w:cs="Arial"/>
          <w:sz w:val="24"/>
          <w:szCs w:val="24"/>
        </w:rPr>
        <w:t>projects.</w:t>
      </w:r>
    </w:p>
    <w:p w:rsidR="001C0D35" w:rsidRPr="007368C9" w:rsidRDefault="001C6780" w:rsidP="00FB60A9">
      <w:pPr>
        <w:ind w:left="720"/>
        <w:rPr>
          <w:rFonts w:ascii="Arial" w:hAnsi="Arial" w:cs="Arial"/>
          <w:sz w:val="24"/>
          <w:szCs w:val="24"/>
        </w:rPr>
      </w:pPr>
      <w:r w:rsidRPr="007368C9">
        <w:rPr>
          <w:rFonts w:ascii="Arial" w:hAnsi="Arial" w:cs="Arial"/>
          <w:sz w:val="24"/>
          <w:szCs w:val="24"/>
        </w:rPr>
        <w:t xml:space="preserve">The COP will establish the basis for determining project crediting following the transition date.  The act of transitioning the early action avoided conversion </w:t>
      </w:r>
      <w:r w:rsidR="00F83703" w:rsidRPr="007368C9">
        <w:rPr>
          <w:rFonts w:ascii="Arial" w:hAnsi="Arial" w:cs="Arial"/>
          <w:sz w:val="24"/>
          <w:szCs w:val="24"/>
        </w:rPr>
        <w:t>project must</w:t>
      </w:r>
      <w:r w:rsidRPr="007368C9">
        <w:rPr>
          <w:rFonts w:ascii="Arial" w:hAnsi="Arial" w:cs="Arial"/>
          <w:sz w:val="24"/>
          <w:szCs w:val="24"/>
        </w:rPr>
        <w:t xml:space="preserve"> ensure that the carbon pools included in the project’s baseline and project monitoring include only the carbon pools allowed under the COP.  If the project was issued more early action offset credits under the early action offset protocol than are calculated using the COP, the project may transition all their early action offset credits</w:t>
      </w:r>
      <w:r w:rsidR="00E27785">
        <w:rPr>
          <w:rFonts w:ascii="Arial" w:hAnsi="Arial" w:cs="Arial"/>
          <w:sz w:val="24"/>
          <w:szCs w:val="24"/>
        </w:rPr>
        <w:t>.</w:t>
      </w:r>
      <w:r w:rsidR="00AF7D88">
        <w:rPr>
          <w:rStyle w:val="FootnoteReference"/>
          <w:rFonts w:ascii="Arial" w:hAnsi="Arial" w:cs="Arial"/>
          <w:sz w:val="24"/>
          <w:szCs w:val="24"/>
        </w:rPr>
        <w:footnoteReference w:id="15"/>
      </w:r>
      <w:r w:rsidRPr="007368C9">
        <w:rPr>
          <w:rFonts w:ascii="Arial" w:hAnsi="Arial" w:cs="Arial"/>
          <w:sz w:val="24"/>
          <w:szCs w:val="24"/>
        </w:rPr>
        <w:t xml:space="preserve">  Following the transition date, future increases in project inventory (growth) are credited according to the COP.  If the project was issued fewer early action offset credits under the early action offset protocol than are calculated using the COP, the project will be issued the balance, accounting for any ARB Forest Buffer Pool contribution required by the COP, upon the receipt of a positive OVS for the initial OPDR</w:t>
      </w:r>
      <w:r w:rsidR="00E27785">
        <w:rPr>
          <w:rFonts w:ascii="Arial" w:hAnsi="Arial" w:cs="Arial"/>
          <w:sz w:val="24"/>
          <w:szCs w:val="24"/>
        </w:rPr>
        <w:t>.</w:t>
      </w:r>
      <w:r w:rsidR="00AF7D88">
        <w:rPr>
          <w:rStyle w:val="FootnoteReference"/>
          <w:rFonts w:ascii="Arial" w:hAnsi="Arial" w:cs="Arial"/>
          <w:sz w:val="24"/>
          <w:szCs w:val="24"/>
        </w:rPr>
        <w:footnoteReference w:id="16"/>
      </w:r>
      <w:r w:rsidRPr="007368C9">
        <w:rPr>
          <w:rFonts w:ascii="Arial" w:hAnsi="Arial" w:cs="Arial"/>
          <w:sz w:val="24"/>
          <w:szCs w:val="24"/>
        </w:rPr>
        <w:t xml:space="preserve">  Following the transition date, future increases in project inventory (growth) are credited according to the COP. </w:t>
      </w:r>
      <w:r w:rsidR="00A3698F" w:rsidRPr="007368C9">
        <w:rPr>
          <w:rFonts w:ascii="Arial" w:hAnsi="Arial" w:cs="Arial"/>
          <w:sz w:val="24"/>
          <w:szCs w:val="24"/>
        </w:rPr>
        <w:t>(growth) are credited according to the COP following the transition date.</w:t>
      </w:r>
    </w:p>
    <w:sectPr w:rsidR="001C0D35" w:rsidRPr="007368C9" w:rsidSect="001C0D35">
      <w:pgSz w:w="12240" w:h="15840"/>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F2DCE" w15:done="0"/>
  <w15:commentEx w15:paraId="06CCE4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A9" w:rsidRDefault="00390FA9" w:rsidP="005B4519">
      <w:pPr>
        <w:spacing w:after="0" w:line="240" w:lineRule="auto"/>
      </w:pPr>
      <w:r>
        <w:separator/>
      </w:r>
    </w:p>
  </w:endnote>
  <w:endnote w:type="continuationSeparator" w:id="0">
    <w:p w:rsidR="00390FA9" w:rsidRDefault="00390FA9" w:rsidP="005B4519">
      <w:pPr>
        <w:spacing w:after="0" w:line="240" w:lineRule="auto"/>
      </w:pPr>
      <w:r>
        <w:continuationSeparator/>
      </w:r>
    </w:p>
  </w:endnote>
  <w:endnote w:type="continuationNotice" w:id="1">
    <w:p w:rsidR="00390FA9" w:rsidRDefault="00390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91" w:rsidRDefault="00282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98" w:rsidRDefault="00451798" w:rsidP="00744120">
    <w:pPr>
      <w:pStyle w:val="Footer"/>
    </w:pPr>
    <w:r>
      <w:t>California Air Resources Board</w:t>
    </w:r>
    <w:r>
      <w:tab/>
    </w:r>
    <w:sdt>
      <w:sdtPr>
        <w:id w:val="3584723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730F">
          <w:rPr>
            <w:noProof/>
          </w:rPr>
          <w:t>9</w:t>
        </w:r>
        <w:r>
          <w:rPr>
            <w:noProof/>
          </w:rPr>
          <w:fldChar w:fldCharType="end"/>
        </w:r>
        <w:r>
          <w:rPr>
            <w:noProof/>
          </w:rPr>
          <w:tab/>
          <w:t>March 2015</w:t>
        </w:r>
      </w:sdtContent>
    </w:sdt>
  </w:p>
  <w:p w:rsidR="00451798" w:rsidRDefault="00451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91" w:rsidRDefault="0028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A9" w:rsidRDefault="00390FA9" w:rsidP="005B4519">
      <w:pPr>
        <w:spacing w:after="0" w:line="240" w:lineRule="auto"/>
      </w:pPr>
      <w:r>
        <w:separator/>
      </w:r>
    </w:p>
  </w:footnote>
  <w:footnote w:type="continuationSeparator" w:id="0">
    <w:p w:rsidR="00390FA9" w:rsidRDefault="00390FA9" w:rsidP="005B4519">
      <w:pPr>
        <w:spacing w:after="0" w:line="240" w:lineRule="auto"/>
      </w:pPr>
      <w:r>
        <w:continuationSeparator/>
      </w:r>
    </w:p>
  </w:footnote>
  <w:footnote w:type="continuationNotice" w:id="1">
    <w:p w:rsidR="00390FA9" w:rsidRDefault="00390FA9">
      <w:pPr>
        <w:spacing w:after="0" w:line="240" w:lineRule="auto"/>
      </w:pPr>
    </w:p>
  </w:footnote>
  <w:footnote w:id="2">
    <w:p w:rsidR="00451798" w:rsidRPr="00451798" w:rsidRDefault="00451798" w:rsidP="00451798">
      <w:pPr>
        <w:spacing w:after="0" w:line="240" w:lineRule="auto"/>
        <w:jc w:val="both"/>
        <w:rPr>
          <w:rFonts w:ascii="Arial" w:hAnsi="Arial" w:cs="Arial"/>
          <w:sz w:val="20"/>
          <w:szCs w:val="20"/>
        </w:rPr>
      </w:pPr>
      <w:r w:rsidRPr="00451798">
        <w:rPr>
          <w:rStyle w:val="FootnoteReference"/>
          <w:rFonts w:ascii="Arial" w:hAnsi="Arial" w:cs="Arial"/>
          <w:sz w:val="20"/>
          <w:szCs w:val="20"/>
        </w:rPr>
        <w:footnoteRef/>
      </w:r>
      <w:r w:rsidRPr="00451798">
        <w:rPr>
          <w:rFonts w:ascii="Arial" w:hAnsi="Arial" w:cs="Arial"/>
          <w:sz w:val="20"/>
          <w:szCs w:val="20"/>
        </w:rPr>
        <w:t xml:space="preserve"> See Title 17, California Code of Regulations (CCR), sections 95990(c)(3)(A), (c)(1), (h)(2), (h)(3), (e)(3), and (k)(5).</w:t>
      </w:r>
    </w:p>
  </w:footnote>
  <w:footnote w:id="3">
    <w:p w:rsidR="00451798" w:rsidRPr="00451798" w:rsidRDefault="00451798" w:rsidP="008B08B3">
      <w:pPr>
        <w:pStyle w:val="FootnoteText"/>
        <w:jc w:val="both"/>
        <w:rPr>
          <w:rFonts w:ascii="Arial" w:hAnsi="Arial" w:cs="Arial"/>
        </w:rPr>
      </w:pPr>
      <w:r w:rsidRPr="00451798">
        <w:rPr>
          <w:rStyle w:val="FootnoteReference"/>
          <w:rFonts w:ascii="Arial" w:hAnsi="Arial" w:cs="Arial"/>
        </w:rPr>
        <w:footnoteRef/>
      </w:r>
      <w:r w:rsidRPr="00451798">
        <w:rPr>
          <w:rFonts w:ascii="Arial" w:hAnsi="Arial" w:cs="Arial"/>
        </w:rPr>
        <w:t xml:space="preserve"> All subsequent references to “17 CCR” in this document refer to Title 17 of the California Code of Regulations.  In all subsequent citations in this document, the term “Section” has been abbreviated using the </w:t>
      </w:r>
      <w:r>
        <w:rPr>
          <w:rFonts w:ascii="Arial" w:hAnsi="Arial" w:cs="Arial"/>
        </w:rPr>
        <w:t xml:space="preserve">“§” </w:t>
      </w:r>
      <w:r w:rsidRPr="00451798">
        <w:rPr>
          <w:rFonts w:ascii="Arial" w:hAnsi="Arial" w:cs="Arial"/>
        </w:rPr>
        <w:t>symbol.</w:t>
      </w:r>
    </w:p>
  </w:footnote>
  <w:footnote w:id="4">
    <w:p w:rsidR="00451798" w:rsidRPr="00451798" w:rsidRDefault="00451798" w:rsidP="008B08B3">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 95990(d).</w:t>
      </w:r>
    </w:p>
    <w:p w:rsidR="00451798" w:rsidRPr="00451798" w:rsidRDefault="00451798" w:rsidP="00E27785">
      <w:pPr>
        <w:pStyle w:val="FootnoteText"/>
        <w:rPr>
          <w:rFonts w:ascii="Arial" w:hAnsi="Arial" w:cs="Arial"/>
        </w:rPr>
      </w:pPr>
    </w:p>
  </w:footnote>
  <w:footnote w:id="5">
    <w:p w:rsidR="00451798" w:rsidRPr="00451798" w:rsidRDefault="00451798" w:rsidP="00E27785">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See </w:t>
      </w:r>
      <w:r>
        <w:rPr>
          <w:rFonts w:ascii="Arial" w:hAnsi="Arial" w:cs="Arial"/>
        </w:rPr>
        <w:t xml:space="preserve">17 </w:t>
      </w:r>
      <w:r w:rsidRPr="00451798">
        <w:rPr>
          <w:rFonts w:ascii="Arial" w:hAnsi="Arial" w:cs="Arial"/>
        </w:rPr>
        <w:t xml:space="preserve">CCR </w:t>
      </w:r>
      <w:r>
        <w:rPr>
          <w:rFonts w:ascii="Arial" w:hAnsi="Arial" w:cs="Arial"/>
        </w:rPr>
        <w:t>§</w:t>
      </w:r>
      <w:r w:rsidRPr="00451798">
        <w:rPr>
          <w:rFonts w:ascii="Arial" w:hAnsi="Arial" w:cs="Arial"/>
        </w:rPr>
        <w:t xml:space="preserve"> 95990(K</w:t>
      </w:r>
      <w:proofErr w:type="gramStart"/>
      <w:r w:rsidRPr="00451798">
        <w:rPr>
          <w:rFonts w:ascii="Arial" w:hAnsi="Arial" w:cs="Arial"/>
        </w:rPr>
        <w:t>)(</w:t>
      </w:r>
      <w:proofErr w:type="gramEnd"/>
      <w:r w:rsidRPr="00451798">
        <w:rPr>
          <w:rFonts w:ascii="Arial" w:hAnsi="Arial" w:cs="Arial"/>
        </w:rPr>
        <w:t>1)(D) and (E).  The compliance protocol contains modifications to quantification compared to both Version 2.1 and 3.x projects.  Compared to 2.1 projects, the COP has additional limits to eligible carbon pools, accounting for leakage and harvested wood products, and contributing to a reversal-risk pool.  The High Stocking Reference is treated differently in the COP than it is in 3.x early action projects.  All quantification requirements found in the compliance protocol should be included in the development of the baseline and project quantification of the transitioning project.  The comparison will enable the project to reconcile the project crediting to ARB offsets program.</w:t>
      </w:r>
    </w:p>
  </w:footnote>
  <w:footnote w:id="6">
    <w:p w:rsidR="00451798" w:rsidRPr="00451798" w:rsidRDefault="00451798" w:rsidP="00E27785">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The HSR is defined in COP Section 6, Step 3, </w:t>
      </w:r>
      <w:proofErr w:type="gramStart"/>
      <w:r w:rsidRPr="00451798">
        <w:rPr>
          <w:rFonts w:ascii="Arial" w:hAnsi="Arial" w:cs="Arial"/>
        </w:rPr>
        <w:t>Equation</w:t>
      </w:r>
      <w:proofErr w:type="gramEnd"/>
      <w:r w:rsidRPr="00451798">
        <w:rPr>
          <w:rFonts w:ascii="Arial" w:hAnsi="Arial" w:cs="Arial"/>
        </w:rPr>
        <w:t xml:space="preserve"> 6.6: “The </w:t>
      </w:r>
      <w:r>
        <w:rPr>
          <w:rFonts w:ascii="Arial" w:hAnsi="Arial" w:cs="Arial"/>
        </w:rPr>
        <w:t>‘</w:t>
      </w:r>
      <w:r w:rsidRPr="00451798">
        <w:rPr>
          <w:rFonts w:ascii="Arial" w:hAnsi="Arial" w:cs="Arial"/>
        </w:rPr>
        <w:t>High Stocking Reference</w:t>
      </w:r>
      <w:r>
        <w:rPr>
          <w:rFonts w:ascii="Arial" w:hAnsi="Arial" w:cs="Arial"/>
        </w:rPr>
        <w:t>’</w:t>
      </w:r>
      <w:r w:rsidRPr="00451798">
        <w:rPr>
          <w:rFonts w:ascii="Arial" w:hAnsi="Arial" w:cs="Arial"/>
        </w:rPr>
        <w:t xml:space="preserve"> is defined as 80 percent of the highest value for above-ground standing live carbon stocks per acres within the Project Area during the preceding 10-year period. To determine the High Stocking Reference, the Offset Project Operator or Authorized Project Designee must document changes in the Project Area’s above-ground standing live carbon stocks over the preceding 10 years.”   </w:t>
      </w:r>
    </w:p>
  </w:footnote>
  <w:footnote w:id="7">
    <w:p w:rsidR="00451798" w:rsidRPr="00451798" w:rsidRDefault="00451798" w:rsidP="00E27785">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w:t>
      </w:r>
      <w:r w:rsidRPr="00451798">
        <w:rPr>
          <w:rFonts w:ascii="Arial" w:hAnsi="Arial" w:cs="Arial"/>
          <w:bCs/>
          <w:lang w:val="en"/>
        </w:rPr>
        <w:t xml:space="preserve">§§ </w:t>
      </w:r>
      <w:r w:rsidRPr="00451798">
        <w:rPr>
          <w:rFonts w:ascii="Arial" w:hAnsi="Arial" w:cs="Arial"/>
        </w:rPr>
        <w:t xml:space="preserve">95990(k)(1)(D), (k)(1)(E).  </w:t>
      </w:r>
    </w:p>
  </w:footnote>
  <w:footnote w:id="8">
    <w:p w:rsidR="00451798" w:rsidRPr="00451798" w:rsidRDefault="00451798" w:rsidP="00E27785">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As described in the Compliance Offset Protocol U.S. Forest Projects, Table 5.1, 5.2, 5.3; Appendix A. Table A.1 and A.2. </w:t>
      </w:r>
    </w:p>
  </w:footnote>
  <w:footnote w:id="9">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Compliance Offset Protocol U.S. Forest Projects. Table 5.1, 5.2, 5.3; Appendix A. Table A.1; 17 CCR § 95990(k)(E)</w:t>
      </w:r>
    </w:p>
    <w:p w:rsidR="00451798" w:rsidRPr="00451798" w:rsidRDefault="00451798">
      <w:pPr>
        <w:pStyle w:val="FootnoteText"/>
        <w:rPr>
          <w:rFonts w:ascii="Arial" w:hAnsi="Arial" w:cs="Arial"/>
        </w:rPr>
      </w:pPr>
    </w:p>
  </w:footnote>
  <w:footnote w:id="10">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w:t>
      </w:r>
      <w:r w:rsidRPr="00451798">
        <w:rPr>
          <w:rFonts w:ascii="Arial" w:hAnsi="Arial" w:cs="Arial"/>
          <w:bCs/>
          <w:lang w:val="en"/>
        </w:rPr>
        <w:t xml:space="preserve">§ </w:t>
      </w:r>
      <w:r w:rsidRPr="00451798">
        <w:rPr>
          <w:rFonts w:ascii="Arial" w:hAnsi="Arial" w:cs="Arial"/>
        </w:rPr>
        <w:t>95990(i</w:t>
      </w:r>
      <w:proofErr w:type="gramStart"/>
      <w:r w:rsidRPr="00451798">
        <w:rPr>
          <w:rFonts w:ascii="Arial" w:hAnsi="Arial" w:cs="Arial"/>
        </w:rPr>
        <w:t>)(</w:t>
      </w:r>
      <w:proofErr w:type="gramEnd"/>
      <w:r w:rsidRPr="00451798">
        <w:rPr>
          <w:rFonts w:ascii="Arial" w:hAnsi="Arial" w:cs="Arial"/>
        </w:rPr>
        <w:t>H)(2)(a)</w:t>
      </w:r>
      <w:r>
        <w:rPr>
          <w:rFonts w:ascii="Arial" w:hAnsi="Arial" w:cs="Arial"/>
        </w:rPr>
        <w:t>-</w:t>
      </w:r>
      <w:r w:rsidRPr="00451798">
        <w:rPr>
          <w:rFonts w:ascii="Arial" w:hAnsi="Arial" w:cs="Arial"/>
        </w:rPr>
        <w:t>(b).</w:t>
      </w:r>
    </w:p>
  </w:footnote>
  <w:footnote w:id="11">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w:t>
      </w:r>
      <w:r w:rsidRPr="00451798">
        <w:rPr>
          <w:rFonts w:ascii="Arial" w:hAnsi="Arial" w:cs="Arial"/>
          <w:bCs/>
          <w:lang w:val="en"/>
        </w:rPr>
        <w:t xml:space="preserve">§§ </w:t>
      </w:r>
      <w:r w:rsidRPr="00451798">
        <w:rPr>
          <w:rFonts w:ascii="Arial" w:hAnsi="Arial" w:cs="Arial"/>
        </w:rPr>
        <w:t xml:space="preserve">95990(i)(H)(1) (2)(a)(b), </w:t>
      </w:r>
      <w:r w:rsidRPr="00451798">
        <w:rPr>
          <w:rFonts w:ascii="Arial" w:hAnsi="Arial" w:cs="Arial"/>
          <w:bCs/>
          <w:lang w:val="en"/>
        </w:rPr>
        <w:t xml:space="preserve"> </w:t>
      </w:r>
      <w:r w:rsidRPr="00451798">
        <w:rPr>
          <w:rFonts w:ascii="Arial" w:hAnsi="Arial" w:cs="Arial"/>
        </w:rPr>
        <w:t xml:space="preserve">95990(k)(1)(D), and 95990(k(1)(E). </w:t>
      </w:r>
    </w:p>
  </w:footnote>
  <w:footnote w:id="12">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17 CCR </w:t>
      </w:r>
      <w:r w:rsidRPr="00451798">
        <w:rPr>
          <w:rFonts w:ascii="Arial" w:hAnsi="Arial" w:cs="Arial"/>
          <w:bCs/>
          <w:lang w:val="en"/>
        </w:rPr>
        <w:t xml:space="preserve">§§ </w:t>
      </w:r>
      <w:r w:rsidRPr="00451798">
        <w:rPr>
          <w:rFonts w:ascii="Arial" w:hAnsi="Arial" w:cs="Arial"/>
        </w:rPr>
        <w:t>95990(k)(1)(D), (H)(1) and (H)(2)(a)(b).</w:t>
      </w:r>
    </w:p>
  </w:footnote>
  <w:footnote w:id="13">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 95990(k)(A)(D)(E).</w:t>
      </w:r>
    </w:p>
  </w:footnote>
  <w:footnote w:id="14">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 95990(k)(H)(a)(b).</w:t>
      </w:r>
    </w:p>
  </w:footnote>
  <w:footnote w:id="15">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 95990(k)(H)(a)(b).</w:t>
      </w:r>
    </w:p>
  </w:footnote>
  <w:footnote w:id="16">
    <w:p w:rsidR="00451798" w:rsidRPr="00451798" w:rsidRDefault="00451798">
      <w:pPr>
        <w:pStyle w:val="FootnoteText"/>
        <w:rPr>
          <w:rFonts w:ascii="Arial" w:hAnsi="Arial" w:cs="Arial"/>
        </w:rPr>
      </w:pPr>
      <w:r w:rsidRPr="00451798">
        <w:rPr>
          <w:rStyle w:val="FootnoteReference"/>
          <w:rFonts w:ascii="Arial" w:hAnsi="Arial" w:cs="Arial"/>
        </w:rPr>
        <w:footnoteRef/>
      </w:r>
      <w:r w:rsidRPr="00451798">
        <w:rPr>
          <w:rFonts w:ascii="Arial" w:hAnsi="Arial" w:cs="Arial"/>
        </w:rPr>
        <w:t xml:space="preserve"> 17 CCR § 95990(k)(H)(a)(b).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91" w:rsidRDefault="00282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98" w:rsidRDefault="00451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91" w:rsidRDefault="00282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DEC"/>
    <w:multiLevelType w:val="multilevel"/>
    <w:tmpl w:val="536E14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9A517C"/>
    <w:multiLevelType w:val="hybridMultilevel"/>
    <w:tmpl w:val="9A0E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97352"/>
    <w:multiLevelType w:val="multilevel"/>
    <w:tmpl w:val="0AF83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607549"/>
    <w:multiLevelType w:val="multilevel"/>
    <w:tmpl w:val="4168955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FFE6D9C"/>
    <w:multiLevelType w:val="multilevel"/>
    <w:tmpl w:val="313E9A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3.1.1"/>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B82ACC"/>
    <w:multiLevelType w:val="multilevel"/>
    <w:tmpl w:val="11F07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1"/>
      <w:lvlJc w:val="left"/>
      <w:pPr>
        <w:ind w:left="1224" w:hanging="504"/>
      </w:pPr>
      <w:rPr>
        <w:rFonts w:hint="default"/>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E4A60"/>
    <w:multiLevelType w:val="multilevel"/>
    <w:tmpl w:val="863E7B3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3CAD6B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BE6C9B"/>
    <w:multiLevelType w:val="multilevel"/>
    <w:tmpl w:val="CDCA7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1F7A90"/>
    <w:multiLevelType w:val="multilevel"/>
    <w:tmpl w:val="74BE2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1"/>
      <w:lvlJc w:val="left"/>
      <w:pPr>
        <w:ind w:left="1224" w:hanging="504"/>
      </w:pPr>
      <w:rPr>
        <w:rFonts w:hint="default"/>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B352E5"/>
    <w:multiLevelType w:val="hybridMultilevel"/>
    <w:tmpl w:val="A00C5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2F652E"/>
    <w:multiLevelType w:val="hybridMultilevel"/>
    <w:tmpl w:val="F0E64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D36230"/>
    <w:multiLevelType w:val="hybridMultilevel"/>
    <w:tmpl w:val="5B900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A102507"/>
    <w:multiLevelType w:val="hybridMultilevel"/>
    <w:tmpl w:val="92789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090BF8"/>
    <w:multiLevelType w:val="multilevel"/>
    <w:tmpl w:val="09A678C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2"/>
  </w:num>
  <w:num w:numId="3">
    <w:abstractNumId w:val="13"/>
  </w:num>
  <w:num w:numId="4">
    <w:abstractNumId w:val="11"/>
  </w:num>
  <w:num w:numId="5">
    <w:abstractNumId w:val="8"/>
  </w:num>
  <w:num w:numId="6">
    <w:abstractNumId w:val="7"/>
  </w:num>
  <w:num w:numId="7">
    <w:abstractNumId w:val="0"/>
  </w:num>
  <w:num w:numId="8">
    <w:abstractNumId w:val="3"/>
  </w:num>
  <w:num w:numId="9">
    <w:abstractNumId w:val="6"/>
  </w:num>
  <w:num w:numId="10">
    <w:abstractNumId w:val="2"/>
  </w:num>
  <w:num w:numId="11">
    <w:abstractNumId w:val="10"/>
  </w:num>
  <w:num w:numId="12">
    <w:abstractNumId w:val="14"/>
  </w:num>
  <w:num w:numId="13">
    <w:abstractNumId w:val="5"/>
  </w:num>
  <w:num w:numId="14">
    <w:abstractNumId w:val="4"/>
  </w:num>
  <w:num w:numId="15">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Bamberger">
    <w15:presenceInfo w15:providerId="Windows Live" w15:userId="236cdfcab2eed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A"/>
    <w:rsid w:val="00001AF3"/>
    <w:rsid w:val="00012778"/>
    <w:rsid w:val="00014E20"/>
    <w:rsid w:val="00024E2A"/>
    <w:rsid w:val="00030533"/>
    <w:rsid w:val="0003303F"/>
    <w:rsid w:val="00036A7A"/>
    <w:rsid w:val="000525E9"/>
    <w:rsid w:val="00052D42"/>
    <w:rsid w:val="000565F0"/>
    <w:rsid w:val="000620A0"/>
    <w:rsid w:val="00071FBE"/>
    <w:rsid w:val="00073151"/>
    <w:rsid w:val="00075BA0"/>
    <w:rsid w:val="000B7C49"/>
    <w:rsid w:val="000C2012"/>
    <w:rsid w:val="000C3149"/>
    <w:rsid w:val="000D07C3"/>
    <w:rsid w:val="000D2D56"/>
    <w:rsid w:val="000D6BC8"/>
    <w:rsid w:val="000E0D8D"/>
    <w:rsid w:val="000E3D1E"/>
    <w:rsid w:val="000E78E4"/>
    <w:rsid w:val="000F0254"/>
    <w:rsid w:val="000F1868"/>
    <w:rsid w:val="000F2EF3"/>
    <w:rsid w:val="000F5CB3"/>
    <w:rsid w:val="000F6CE1"/>
    <w:rsid w:val="001018D7"/>
    <w:rsid w:val="00102424"/>
    <w:rsid w:val="00105254"/>
    <w:rsid w:val="0010786D"/>
    <w:rsid w:val="00111021"/>
    <w:rsid w:val="001274A7"/>
    <w:rsid w:val="00135434"/>
    <w:rsid w:val="0014318E"/>
    <w:rsid w:val="00143812"/>
    <w:rsid w:val="00143B84"/>
    <w:rsid w:val="001450D1"/>
    <w:rsid w:val="0015157F"/>
    <w:rsid w:val="00155FDC"/>
    <w:rsid w:val="00160CA1"/>
    <w:rsid w:val="001612A7"/>
    <w:rsid w:val="001642B2"/>
    <w:rsid w:val="0017232E"/>
    <w:rsid w:val="001747A7"/>
    <w:rsid w:val="001913C8"/>
    <w:rsid w:val="00197CC6"/>
    <w:rsid w:val="001B03AF"/>
    <w:rsid w:val="001B275C"/>
    <w:rsid w:val="001C0D35"/>
    <w:rsid w:val="001C24C7"/>
    <w:rsid w:val="001C3058"/>
    <w:rsid w:val="001C4D40"/>
    <w:rsid w:val="001C612B"/>
    <w:rsid w:val="001C6780"/>
    <w:rsid w:val="001E1DFD"/>
    <w:rsid w:val="001E2CAC"/>
    <w:rsid w:val="001E5948"/>
    <w:rsid w:val="001F1A29"/>
    <w:rsid w:val="00200797"/>
    <w:rsid w:val="002030ED"/>
    <w:rsid w:val="00203F19"/>
    <w:rsid w:val="0021740A"/>
    <w:rsid w:val="00227D1D"/>
    <w:rsid w:val="0023521D"/>
    <w:rsid w:val="0024599F"/>
    <w:rsid w:val="00255C2E"/>
    <w:rsid w:val="00275E88"/>
    <w:rsid w:val="00281F35"/>
    <w:rsid w:val="00282191"/>
    <w:rsid w:val="002953E9"/>
    <w:rsid w:val="002A1D04"/>
    <w:rsid w:val="002A715E"/>
    <w:rsid w:val="002B0875"/>
    <w:rsid w:val="002B6134"/>
    <w:rsid w:val="002C1DAF"/>
    <w:rsid w:val="002D7C9D"/>
    <w:rsid w:val="002E077E"/>
    <w:rsid w:val="002E2BAA"/>
    <w:rsid w:val="002E67AC"/>
    <w:rsid w:val="00301ACB"/>
    <w:rsid w:val="00310744"/>
    <w:rsid w:val="00317B9E"/>
    <w:rsid w:val="00332870"/>
    <w:rsid w:val="00341EF5"/>
    <w:rsid w:val="00390FA9"/>
    <w:rsid w:val="003928AD"/>
    <w:rsid w:val="003A3137"/>
    <w:rsid w:val="003B56A8"/>
    <w:rsid w:val="003C1EA5"/>
    <w:rsid w:val="003C39B6"/>
    <w:rsid w:val="003C51A6"/>
    <w:rsid w:val="003E17E8"/>
    <w:rsid w:val="003E2C4F"/>
    <w:rsid w:val="003E3913"/>
    <w:rsid w:val="003F1C4F"/>
    <w:rsid w:val="00415A15"/>
    <w:rsid w:val="0043129A"/>
    <w:rsid w:val="00436EFA"/>
    <w:rsid w:val="00447D44"/>
    <w:rsid w:val="00451798"/>
    <w:rsid w:val="00457597"/>
    <w:rsid w:val="00467A3E"/>
    <w:rsid w:val="0047211C"/>
    <w:rsid w:val="00477F65"/>
    <w:rsid w:val="00480506"/>
    <w:rsid w:val="00481077"/>
    <w:rsid w:val="004820E6"/>
    <w:rsid w:val="0048276A"/>
    <w:rsid w:val="00492C72"/>
    <w:rsid w:val="004953FD"/>
    <w:rsid w:val="004A0FA6"/>
    <w:rsid w:val="004A5B25"/>
    <w:rsid w:val="004A655E"/>
    <w:rsid w:val="004A7596"/>
    <w:rsid w:val="004A7725"/>
    <w:rsid w:val="004A787F"/>
    <w:rsid w:val="004B0F6C"/>
    <w:rsid w:val="004B53D5"/>
    <w:rsid w:val="004C0ABB"/>
    <w:rsid w:val="004D31D8"/>
    <w:rsid w:val="004E04A1"/>
    <w:rsid w:val="004E2F80"/>
    <w:rsid w:val="004E452D"/>
    <w:rsid w:val="004E6926"/>
    <w:rsid w:val="004E6B39"/>
    <w:rsid w:val="004E70E5"/>
    <w:rsid w:val="004E77F2"/>
    <w:rsid w:val="004F1D61"/>
    <w:rsid w:val="004F62E8"/>
    <w:rsid w:val="004F6FD6"/>
    <w:rsid w:val="0050539A"/>
    <w:rsid w:val="00507AD4"/>
    <w:rsid w:val="005129AE"/>
    <w:rsid w:val="005248C1"/>
    <w:rsid w:val="00524B68"/>
    <w:rsid w:val="00526D67"/>
    <w:rsid w:val="00527D25"/>
    <w:rsid w:val="00531699"/>
    <w:rsid w:val="005423FD"/>
    <w:rsid w:val="0054640C"/>
    <w:rsid w:val="00554CB2"/>
    <w:rsid w:val="00564CF4"/>
    <w:rsid w:val="005666E9"/>
    <w:rsid w:val="00567A02"/>
    <w:rsid w:val="005719C8"/>
    <w:rsid w:val="0058314F"/>
    <w:rsid w:val="00584A60"/>
    <w:rsid w:val="00597C74"/>
    <w:rsid w:val="005A1DF5"/>
    <w:rsid w:val="005A3DCA"/>
    <w:rsid w:val="005A50E2"/>
    <w:rsid w:val="005B4519"/>
    <w:rsid w:val="005B7488"/>
    <w:rsid w:val="005C5B2F"/>
    <w:rsid w:val="005C651E"/>
    <w:rsid w:val="005C7A54"/>
    <w:rsid w:val="005D4C16"/>
    <w:rsid w:val="005D7B71"/>
    <w:rsid w:val="005E13E5"/>
    <w:rsid w:val="005E43CE"/>
    <w:rsid w:val="005E73C4"/>
    <w:rsid w:val="005F284C"/>
    <w:rsid w:val="0060671F"/>
    <w:rsid w:val="006068B3"/>
    <w:rsid w:val="00607F86"/>
    <w:rsid w:val="00612714"/>
    <w:rsid w:val="0061330F"/>
    <w:rsid w:val="00615488"/>
    <w:rsid w:val="006216B5"/>
    <w:rsid w:val="00625E63"/>
    <w:rsid w:val="00632AC7"/>
    <w:rsid w:val="00637439"/>
    <w:rsid w:val="0064730F"/>
    <w:rsid w:val="0065716A"/>
    <w:rsid w:val="00660FC2"/>
    <w:rsid w:val="006616B3"/>
    <w:rsid w:val="00666D48"/>
    <w:rsid w:val="0067097F"/>
    <w:rsid w:val="00685793"/>
    <w:rsid w:val="00693282"/>
    <w:rsid w:val="006A2E5D"/>
    <w:rsid w:val="006A4BF7"/>
    <w:rsid w:val="006A5E7D"/>
    <w:rsid w:val="006B0D8A"/>
    <w:rsid w:val="006B0DAB"/>
    <w:rsid w:val="006C01AC"/>
    <w:rsid w:val="006C0F37"/>
    <w:rsid w:val="006E21FF"/>
    <w:rsid w:val="007035F8"/>
    <w:rsid w:val="0071308D"/>
    <w:rsid w:val="00714677"/>
    <w:rsid w:val="007166E6"/>
    <w:rsid w:val="00722616"/>
    <w:rsid w:val="0072497C"/>
    <w:rsid w:val="007368C9"/>
    <w:rsid w:val="00740D19"/>
    <w:rsid w:val="00744120"/>
    <w:rsid w:val="007479F0"/>
    <w:rsid w:val="00751709"/>
    <w:rsid w:val="00765574"/>
    <w:rsid w:val="00773B26"/>
    <w:rsid w:val="00785CB9"/>
    <w:rsid w:val="00787D96"/>
    <w:rsid w:val="00792ABA"/>
    <w:rsid w:val="007A1117"/>
    <w:rsid w:val="007A7D2B"/>
    <w:rsid w:val="007B205A"/>
    <w:rsid w:val="007B22C9"/>
    <w:rsid w:val="007B525D"/>
    <w:rsid w:val="007B6103"/>
    <w:rsid w:val="007B6888"/>
    <w:rsid w:val="007D734D"/>
    <w:rsid w:val="007E0D54"/>
    <w:rsid w:val="007F3B13"/>
    <w:rsid w:val="008028D1"/>
    <w:rsid w:val="00805C84"/>
    <w:rsid w:val="00806521"/>
    <w:rsid w:val="00817055"/>
    <w:rsid w:val="008211BA"/>
    <w:rsid w:val="0082231B"/>
    <w:rsid w:val="00824C6A"/>
    <w:rsid w:val="00825834"/>
    <w:rsid w:val="00827F4B"/>
    <w:rsid w:val="00833A3C"/>
    <w:rsid w:val="008346ED"/>
    <w:rsid w:val="00844E28"/>
    <w:rsid w:val="008551F7"/>
    <w:rsid w:val="0086057E"/>
    <w:rsid w:val="00880FAF"/>
    <w:rsid w:val="00882076"/>
    <w:rsid w:val="008900EB"/>
    <w:rsid w:val="00890A6B"/>
    <w:rsid w:val="00894B74"/>
    <w:rsid w:val="0089768D"/>
    <w:rsid w:val="008B08B3"/>
    <w:rsid w:val="008B1608"/>
    <w:rsid w:val="008C0B90"/>
    <w:rsid w:val="008C14A0"/>
    <w:rsid w:val="008C3F3C"/>
    <w:rsid w:val="008D19BE"/>
    <w:rsid w:val="008E27DE"/>
    <w:rsid w:val="008E2C69"/>
    <w:rsid w:val="008E5E99"/>
    <w:rsid w:val="008F382F"/>
    <w:rsid w:val="009047BD"/>
    <w:rsid w:val="00905963"/>
    <w:rsid w:val="0091085F"/>
    <w:rsid w:val="00911B55"/>
    <w:rsid w:val="0091652B"/>
    <w:rsid w:val="00922864"/>
    <w:rsid w:val="00923957"/>
    <w:rsid w:val="00933325"/>
    <w:rsid w:val="00933938"/>
    <w:rsid w:val="00933BE4"/>
    <w:rsid w:val="00935D98"/>
    <w:rsid w:val="00936181"/>
    <w:rsid w:val="00952A7A"/>
    <w:rsid w:val="00973181"/>
    <w:rsid w:val="009734C1"/>
    <w:rsid w:val="00984566"/>
    <w:rsid w:val="009937B4"/>
    <w:rsid w:val="00996DB1"/>
    <w:rsid w:val="009A1B68"/>
    <w:rsid w:val="009A518E"/>
    <w:rsid w:val="009A6800"/>
    <w:rsid w:val="009A72A6"/>
    <w:rsid w:val="009B2E77"/>
    <w:rsid w:val="009D3B4D"/>
    <w:rsid w:val="009D770B"/>
    <w:rsid w:val="009E0FB0"/>
    <w:rsid w:val="009F1C77"/>
    <w:rsid w:val="009F4AEC"/>
    <w:rsid w:val="00A00E5E"/>
    <w:rsid w:val="00A06AA1"/>
    <w:rsid w:val="00A1284A"/>
    <w:rsid w:val="00A12CF3"/>
    <w:rsid w:val="00A13D37"/>
    <w:rsid w:val="00A2010E"/>
    <w:rsid w:val="00A25687"/>
    <w:rsid w:val="00A258FD"/>
    <w:rsid w:val="00A30F87"/>
    <w:rsid w:val="00A3698F"/>
    <w:rsid w:val="00A470B0"/>
    <w:rsid w:val="00A63B0E"/>
    <w:rsid w:val="00A7698B"/>
    <w:rsid w:val="00A9271B"/>
    <w:rsid w:val="00AB665B"/>
    <w:rsid w:val="00AC31AE"/>
    <w:rsid w:val="00AC44DD"/>
    <w:rsid w:val="00AC6B58"/>
    <w:rsid w:val="00AD1CA0"/>
    <w:rsid w:val="00AE05DE"/>
    <w:rsid w:val="00AE14AC"/>
    <w:rsid w:val="00AE19D9"/>
    <w:rsid w:val="00AE68D4"/>
    <w:rsid w:val="00AF5F0A"/>
    <w:rsid w:val="00AF62AF"/>
    <w:rsid w:val="00AF72BC"/>
    <w:rsid w:val="00AF7D88"/>
    <w:rsid w:val="00B0560B"/>
    <w:rsid w:val="00B05A90"/>
    <w:rsid w:val="00B1394E"/>
    <w:rsid w:val="00B17FE4"/>
    <w:rsid w:val="00B25A3A"/>
    <w:rsid w:val="00B365B7"/>
    <w:rsid w:val="00B47277"/>
    <w:rsid w:val="00B50DAD"/>
    <w:rsid w:val="00B5767A"/>
    <w:rsid w:val="00B76DFD"/>
    <w:rsid w:val="00B76EED"/>
    <w:rsid w:val="00B81058"/>
    <w:rsid w:val="00B814E9"/>
    <w:rsid w:val="00B90A85"/>
    <w:rsid w:val="00BA2DA7"/>
    <w:rsid w:val="00BA349F"/>
    <w:rsid w:val="00BA7735"/>
    <w:rsid w:val="00BC0272"/>
    <w:rsid w:val="00BC469E"/>
    <w:rsid w:val="00BC487C"/>
    <w:rsid w:val="00BC7795"/>
    <w:rsid w:val="00BD4555"/>
    <w:rsid w:val="00BE082B"/>
    <w:rsid w:val="00BE26C6"/>
    <w:rsid w:val="00BF3DB6"/>
    <w:rsid w:val="00BF5DEA"/>
    <w:rsid w:val="00C15053"/>
    <w:rsid w:val="00C3040E"/>
    <w:rsid w:val="00C356D4"/>
    <w:rsid w:val="00C513C4"/>
    <w:rsid w:val="00C5417C"/>
    <w:rsid w:val="00C548CF"/>
    <w:rsid w:val="00C55C34"/>
    <w:rsid w:val="00C5699F"/>
    <w:rsid w:val="00C646DC"/>
    <w:rsid w:val="00C66A6E"/>
    <w:rsid w:val="00C71383"/>
    <w:rsid w:val="00C76483"/>
    <w:rsid w:val="00C80062"/>
    <w:rsid w:val="00C80342"/>
    <w:rsid w:val="00C8389C"/>
    <w:rsid w:val="00C84D5E"/>
    <w:rsid w:val="00C8780A"/>
    <w:rsid w:val="00C907AA"/>
    <w:rsid w:val="00C9746C"/>
    <w:rsid w:val="00CA2F3A"/>
    <w:rsid w:val="00CA3FE7"/>
    <w:rsid w:val="00CB0ADA"/>
    <w:rsid w:val="00CB1CBC"/>
    <w:rsid w:val="00CB207B"/>
    <w:rsid w:val="00CB5DB5"/>
    <w:rsid w:val="00CB7729"/>
    <w:rsid w:val="00D019C2"/>
    <w:rsid w:val="00D05BE5"/>
    <w:rsid w:val="00D10C02"/>
    <w:rsid w:val="00D11C15"/>
    <w:rsid w:val="00D43D04"/>
    <w:rsid w:val="00D452E1"/>
    <w:rsid w:val="00D549BB"/>
    <w:rsid w:val="00D57439"/>
    <w:rsid w:val="00D633CA"/>
    <w:rsid w:val="00D714DE"/>
    <w:rsid w:val="00D742C1"/>
    <w:rsid w:val="00D807AD"/>
    <w:rsid w:val="00D855DB"/>
    <w:rsid w:val="00D923CE"/>
    <w:rsid w:val="00D9452D"/>
    <w:rsid w:val="00D95914"/>
    <w:rsid w:val="00D95A59"/>
    <w:rsid w:val="00D9617E"/>
    <w:rsid w:val="00D97B2D"/>
    <w:rsid w:val="00DA5768"/>
    <w:rsid w:val="00DA68D2"/>
    <w:rsid w:val="00DB58C3"/>
    <w:rsid w:val="00DC16B9"/>
    <w:rsid w:val="00DE149D"/>
    <w:rsid w:val="00DF0AA0"/>
    <w:rsid w:val="00DF6854"/>
    <w:rsid w:val="00E103AE"/>
    <w:rsid w:val="00E10469"/>
    <w:rsid w:val="00E13225"/>
    <w:rsid w:val="00E15E24"/>
    <w:rsid w:val="00E15E31"/>
    <w:rsid w:val="00E27785"/>
    <w:rsid w:val="00E33073"/>
    <w:rsid w:val="00E33791"/>
    <w:rsid w:val="00E33B66"/>
    <w:rsid w:val="00E35093"/>
    <w:rsid w:val="00E47516"/>
    <w:rsid w:val="00E478A8"/>
    <w:rsid w:val="00E512F2"/>
    <w:rsid w:val="00E6152E"/>
    <w:rsid w:val="00E630E9"/>
    <w:rsid w:val="00E73C2C"/>
    <w:rsid w:val="00E91357"/>
    <w:rsid w:val="00E93A90"/>
    <w:rsid w:val="00E94ECE"/>
    <w:rsid w:val="00E961FA"/>
    <w:rsid w:val="00EA37A7"/>
    <w:rsid w:val="00EA4C75"/>
    <w:rsid w:val="00EC6624"/>
    <w:rsid w:val="00ED025E"/>
    <w:rsid w:val="00ED615F"/>
    <w:rsid w:val="00EE3BE5"/>
    <w:rsid w:val="00EF2032"/>
    <w:rsid w:val="00EF5881"/>
    <w:rsid w:val="00F0060E"/>
    <w:rsid w:val="00F00684"/>
    <w:rsid w:val="00F01EE8"/>
    <w:rsid w:val="00F039F2"/>
    <w:rsid w:val="00F0558E"/>
    <w:rsid w:val="00F1794C"/>
    <w:rsid w:val="00F21AAB"/>
    <w:rsid w:val="00F234CD"/>
    <w:rsid w:val="00F242C9"/>
    <w:rsid w:val="00F27C60"/>
    <w:rsid w:val="00F41CC5"/>
    <w:rsid w:val="00F43FF6"/>
    <w:rsid w:val="00F44A64"/>
    <w:rsid w:val="00F51972"/>
    <w:rsid w:val="00F51ACB"/>
    <w:rsid w:val="00F53268"/>
    <w:rsid w:val="00F5398A"/>
    <w:rsid w:val="00F62C3E"/>
    <w:rsid w:val="00F7020E"/>
    <w:rsid w:val="00F83703"/>
    <w:rsid w:val="00F87546"/>
    <w:rsid w:val="00F92E80"/>
    <w:rsid w:val="00FB4721"/>
    <w:rsid w:val="00FB60A9"/>
    <w:rsid w:val="00FB696B"/>
    <w:rsid w:val="00FB7770"/>
    <w:rsid w:val="00FC2570"/>
    <w:rsid w:val="00FC2919"/>
    <w:rsid w:val="00FC3072"/>
    <w:rsid w:val="00FC4FF5"/>
    <w:rsid w:val="00FD5A0C"/>
    <w:rsid w:val="00FD7A51"/>
    <w:rsid w:val="00FF4DC8"/>
    <w:rsid w:val="00FF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EB"/>
  </w:style>
  <w:style w:type="paragraph" w:styleId="Heading1">
    <w:name w:val="heading 1"/>
    <w:basedOn w:val="Normal"/>
    <w:next w:val="Normal"/>
    <w:link w:val="Heading1Char"/>
    <w:uiPriority w:val="9"/>
    <w:qFormat/>
    <w:rsid w:val="0089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00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00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900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00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00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00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900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0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90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0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00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00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900EB"/>
    <w:pPr>
      <w:ind w:left="720"/>
      <w:contextualSpacing/>
    </w:pPr>
  </w:style>
  <w:style w:type="table" w:styleId="TableGrid">
    <w:name w:val="Table Grid"/>
    <w:basedOn w:val="TableNormal"/>
    <w:uiPriority w:val="39"/>
    <w:rsid w:val="00FD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00E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D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0B"/>
    <w:rPr>
      <w:rFonts w:ascii="Tahoma" w:hAnsi="Tahoma" w:cs="Tahoma"/>
      <w:sz w:val="16"/>
      <w:szCs w:val="16"/>
    </w:rPr>
  </w:style>
  <w:style w:type="character" w:styleId="Emphasis">
    <w:name w:val="Emphasis"/>
    <w:basedOn w:val="DefaultParagraphFont"/>
    <w:uiPriority w:val="20"/>
    <w:qFormat/>
    <w:rsid w:val="008900EB"/>
    <w:rPr>
      <w:i/>
      <w:iCs/>
    </w:rPr>
  </w:style>
  <w:style w:type="paragraph" w:styleId="Caption">
    <w:name w:val="caption"/>
    <w:basedOn w:val="Normal"/>
    <w:next w:val="Normal"/>
    <w:uiPriority w:val="35"/>
    <w:unhideWhenUsed/>
    <w:qFormat/>
    <w:rsid w:val="008900EB"/>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900EB"/>
    <w:pPr>
      <w:outlineLvl w:val="9"/>
    </w:pPr>
  </w:style>
  <w:style w:type="paragraph" w:styleId="TOC1">
    <w:name w:val="toc 1"/>
    <w:basedOn w:val="Normal"/>
    <w:next w:val="Normal"/>
    <w:autoRedefine/>
    <w:uiPriority w:val="39"/>
    <w:unhideWhenUsed/>
    <w:rsid w:val="004D31D8"/>
    <w:pPr>
      <w:spacing w:after="100"/>
    </w:pPr>
  </w:style>
  <w:style w:type="paragraph" w:styleId="TOC2">
    <w:name w:val="toc 2"/>
    <w:basedOn w:val="Normal"/>
    <w:next w:val="Normal"/>
    <w:autoRedefine/>
    <w:uiPriority w:val="39"/>
    <w:unhideWhenUsed/>
    <w:rsid w:val="004D31D8"/>
    <w:pPr>
      <w:spacing w:after="100"/>
      <w:ind w:left="220"/>
    </w:pPr>
  </w:style>
  <w:style w:type="paragraph" w:styleId="TOC3">
    <w:name w:val="toc 3"/>
    <w:basedOn w:val="Normal"/>
    <w:next w:val="Normal"/>
    <w:autoRedefine/>
    <w:uiPriority w:val="39"/>
    <w:unhideWhenUsed/>
    <w:rsid w:val="004D31D8"/>
    <w:pPr>
      <w:spacing w:after="100"/>
      <w:ind w:left="440"/>
    </w:pPr>
  </w:style>
  <w:style w:type="character" w:styleId="Hyperlink">
    <w:name w:val="Hyperlink"/>
    <w:basedOn w:val="DefaultParagraphFont"/>
    <w:uiPriority w:val="99"/>
    <w:unhideWhenUsed/>
    <w:rsid w:val="004D31D8"/>
    <w:rPr>
      <w:color w:val="0000FF" w:themeColor="hyperlink"/>
      <w:u w:val="single"/>
    </w:rPr>
  </w:style>
  <w:style w:type="paragraph" w:styleId="TableofFigures">
    <w:name w:val="table of figures"/>
    <w:basedOn w:val="Normal"/>
    <w:next w:val="Normal"/>
    <w:uiPriority w:val="99"/>
    <w:unhideWhenUsed/>
    <w:rsid w:val="004D31D8"/>
    <w:pPr>
      <w:spacing w:after="0"/>
    </w:pPr>
  </w:style>
  <w:style w:type="paragraph" w:styleId="Header">
    <w:name w:val="header"/>
    <w:basedOn w:val="Normal"/>
    <w:link w:val="HeaderChar"/>
    <w:uiPriority w:val="99"/>
    <w:unhideWhenUsed/>
    <w:rsid w:val="005B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19"/>
  </w:style>
  <w:style w:type="paragraph" w:styleId="Footer">
    <w:name w:val="footer"/>
    <w:basedOn w:val="Normal"/>
    <w:link w:val="FooterChar"/>
    <w:uiPriority w:val="99"/>
    <w:unhideWhenUsed/>
    <w:rsid w:val="005B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19"/>
  </w:style>
  <w:style w:type="character" w:styleId="CommentReference">
    <w:name w:val="annotation reference"/>
    <w:basedOn w:val="DefaultParagraphFont"/>
    <w:uiPriority w:val="99"/>
    <w:semiHidden/>
    <w:unhideWhenUsed/>
    <w:rsid w:val="004820E6"/>
    <w:rPr>
      <w:sz w:val="16"/>
      <w:szCs w:val="16"/>
    </w:rPr>
  </w:style>
  <w:style w:type="paragraph" w:styleId="CommentText">
    <w:name w:val="annotation text"/>
    <w:basedOn w:val="Normal"/>
    <w:link w:val="CommentTextChar"/>
    <w:uiPriority w:val="99"/>
    <w:unhideWhenUsed/>
    <w:rsid w:val="004820E6"/>
    <w:pPr>
      <w:spacing w:line="240" w:lineRule="auto"/>
    </w:pPr>
    <w:rPr>
      <w:sz w:val="20"/>
      <w:szCs w:val="20"/>
    </w:rPr>
  </w:style>
  <w:style w:type="character" w:customStyle="1" w:styleId="CommentTextChar">
    <w:name w:val="Comment Text Char"/>
    <w:basedOn w:val="DefaultParagraphFont"/>
    <w:link w:val="CommentText"/>
    <w:uiPriority w:val="99"/>
    <w:rsid w:val="004820E6"/>
    <w:rPr>
      <w:sz w:val="20"/>
      <w:szCs w:val="20"/>
    </w:rPr>
  </w:style>
  <w:style w:type="character" w:customStyle="1" w:styleId="Heading4Char">
    <w:name w:val="Heading 4 Char"/>
    <w:basedOn w:val="DefaultParagraphFont"/>
    <w:link w:val="Heading4"/>
    <w:uiPriority w:val="9"/>
    <w:rsid w:val="008900EB"/>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030533"/>
    <w:rPr>
      <w:b/>
      <w:bCs/>
    </w:rPr>
  </w:style>
  <w:style w:type="character" w:customStyle="1" w:styleId="CommentSubjectChar">
    <w:name w:val="Comment Subject Char"/>
    <w:basedOn w:val="CommentTextChar"/>
    <w:link w:val="CommentSubject"/>
    <w:uiPriority w:val="99"/>
    <w:semiHidden/>
    <w:rsid w:val="00030533"/>
    <w:rPr>
      <w:b/>
      <w:bCs/>
      <w:sz w:val="20"/>
      <w:szCs w:val="20"/>
    </w:rPr>
  </w:style>
  <w:style w:type="paragraph" w:styleId="EndnoteText">
    <w:name w:val="endnote text"/>
    <w:basedOn w:val="Normal"/>
    <w:link w:val="EndnoteTextChar"/>
    <w:uiPriority w:val="99"/>
    <w:semiHidden/>
    <w:unhideWhenUsed/>
    <w:rsid w:val="004E2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F80"/>
    <w:rPr>
      <w:sz w:val="20"/>
      <w:szCs w:val="20"/>
    </w:rPr>
  </w:style>
  <w:style w:type="character" w:styleId="EndnoteReference">
    <w:name w:val="endnote reference"/>
    <w:basedOn w:val="DefaultParagraphFont"/>
    <w:uiPriority w:val="99"/>
    <w:semiHidden/>
    <w:unhideWhenUsed/>
    <w:rsid w:val="004E2F80"/>
    <w:rPr>
      <w:vertAlign w:val="superscript"/>
    </w:rPr>
  </w:style>
  <w:style w:type="paragraph" w:styleId="FootnoteText">
    <w:name w:val="footnote text"/>
    <w:basedOn w:val="Normal"/>
    <w:link w:val="FootnoteTextChar"/>
    <w:uiPriority w:val="99"/>
    <w:unhideWhenUsed/>
    <w:rsid w:val="004E2F80"/>
    <w:pPr>
      <w:spacing w:after="0" w:line="240" w:lineRule="auto"/>
    </w:pPr>
    <w:rPr>
      <w:sz w:val="20"/>
      <w:szCs w:val="20"/>
    </w:rPr>
  </w:style>
  <w:style w:type="character" w:customStyle="1" w:styleId="FootnoteTextChar">
    <w:name w:val="Footnote Text Char"/>
    <w:basedOn w:val="DefaultParagraphFont"/>
    <w:link w:val="FootnoteText"/>
    <w:uiPriority w:val="99"/>
    <w:rsid w:val="004E2F80"/>
    <w:rPr>
      <w:sz w:val="20"/>
      <w:szCs w:val="20"/>
    </w:rPr>
  </w:style>
  <w:style w:type="character" w:styleId="FootnoteReference">
    <w:name w:val="footnote reference"/>
    <w:basedOn w:val="DefaultParagraphFont"/>
    <w:uiPriority w:val="99"/>
    <w:semiHidden/>
    <w:unhideWhenUsed/>
    <w:rsid w:val="004E2F80"/>
    <w:rPr>
      <w:vertAlign w:val="superscript"/>
    </w:rPr>
  </w:style>
  <w:style w:type="character" w:customStyle="1" w:styleId="Heading5Char">
    <w:name w:val="Heading 5 Char"/>
    <w:basedOn w:val="DefaultParagraphFont"/>
    <w:link w:val="Heading5"/>
    <w:uiPriority w:val="9"/>
    <w:rsid w:val="008900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00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00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00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900EB"/>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900EB"/>
    <w:rPr>
      <w:b/>
      <w:bCs/>
    </w:rPr>
  </w:style>
  <w:style w:type="paragraph" w:styleId="NoSpacing">
    <w:name w:val="No Spacing"/>
    <w:uiPriority w:val="1"/>
    <w:qFormat/>
    <w:rsid w:val="008900EB"/>
    <w:pPr>
      <w:spacing w:after="0" w:line="240" w:lineRule="auto"/>
    </w:pPr>
  </w:style>
  <w:style w:type="paragraph" w:styleId="Quote">
    <w:name w:val="Quote"/>
    <w:basedOn w:val="Normal"/>
    <w:next w:val="Normal"/>
    <w:link w:val="QuoteChar"/>
    <w:uiPriority w:val="29"/>
    <w:qFormat/>
    <w:rsid w:val="008900EB"/>
    <w:rPr>
      <w:i/>
      <w:iCs/>
      <w:color w:val="000000" w:themeColor="text1"/>
    </w:rPr>
  </w:style>
  <w:style w:type="character" w:customStyle="1" w:styleId="QuoteChar">
    <w:name w:val="Quote Char"/>
    <w:basedOn w:val="DefaultParagraphFont"/>
    <w:link w:val="Quote"/>
    <w:uiPriority w:val="29"/>
    <w:rsid w:val="008900EB"/>
    <w:rPr>
      <w:i/>
      <w:iCs/>
      <w:color w:val="000000" w:themeColor="text1"/>
    </w:rPr>
  </w:style>
  <w:style w:type="paragraph" w:styleId="IntenseQuote">
    <w:name w:val="Intense Quote"/>
    <w:basedOn w:val="Normal"/>
    <w:next w:val="Normal"/>
    <w:link w:val="IntenseQuoteChar"/>
    <w:uiPriority w:val="30"/>
    <w:qFormat/>
    <w:rsid w:val="008900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00EB"/>
    <w:rPr>
      <w:b/>
      <w:bCs/>
      <w:i/>
      <w:iCs/>
      <w:color w:val="4F81BD" w:themeColor="accent1"/>
    </w:rPr>
  </w:style>
  <w:style w:type="character" w:styleId="SubtleEmphasis">
    <w:name w:val="Subtle Emphasis"/>
    <w:basedOn w:val="DefaultParagraphFont"/>
    <w:uiPriority w:val="19"/>
    <w:qFormat/>
    <w:rsid w:val="008900EB"/>
    <w:rPr>
      <w:i/>
      <w:iCs/>
      <w:color w:val="808080" w:themeColor="text1" w:themeTint="7F"/>
    </w:rPr>
  </w:style>
  <w:style w:type="character" w:styleId="IntenseEmphasis">
    <w:name w:val="Intense Emphasis"/>
    <w:basedOn w:val="DefaultParagraphFont"/>
    <w:uiPriority w:val="21"/>
    <w:qFormat/>
    <w:rsid w:val="008900EB"/>
    <w:rPr>
      <w:b/>
      <w:bCs/>
      <w:i/>
      <w:iCs/>
      <w:color w:val="4F81BD" w:themeColor="accent1"/>
    </w:rPr>
  </w:style>
  <w:style w:type="character" w:styleId="SubtleReference">
    <w:name w:val="Subtle Reference"/>
    <w:basedOn w:val="DefaultParagraphFont"/>
    <w:uiPriority w:val="31"/>
    <w:qFormat/>
    <w:rsid w:val="008900EB"/>
    <w:rPr>
      <w:smallCaps/>
      <w:color w:val="C0504D" w:themeColor="accent2"/>
      <w:u w:val="single"/>
    </w:rPr>
  </w:style>
  <w:style w:type="character" w:styleId="IntenseReference">
    <w:name w:val="Intense Reference"/>
    <w:basedOn w:val="DefaultParagraphFont"/>
    <w:uiPriority w:val="32"/>
    <w:qFormat/>
    <w:rsid w:val="008900EB"/>
    <w:rPr>
      <w:b/>
      <w:bCs/>
      <w:smallCaps/>
      <w:color w:val="C0504D" w:themeColor="accent2"/>
      <w:spacing w:val="5"/>
      <w:u w:val="single"/>
    </w:rPr>
  </w:style>
  <w:style w:type="character" w:styleId="BookTitle">
    <w:name w:val="Book Title"/>
    <w:basedOn w:val="DefaultParagraphFont"/>
    <w:uiPriority w:val="33"/>
    <w:qFormat/>
    <w:rsid w:val="008900EB"/>
    <w:rPr>
      <w:b/>
      <w:bCs/>
      <w:smallCaps/>
      <w:spacing w:val="5"/>
    </w:rPr>
  </w:style>
  <w:style w:type="paragraph" w:styleId="NormalWeb">
    <w:name w:val="Normal (Web)"/>
    <w:basedOn w:val="Normal"/>
    <w:uiPriority w:val="99"/>
    <w:semiHidden/>
    <w:unhideWhenUsed/>
    <w:rsid w:val="002B613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F5DE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EB"/>
  </w:style>
  <w:style w:type="paragraph" w:styleId="Heading1">
    <w:name w:val="heading 1"/>
    <w:basedOn w:val="Normal"/>
    <w:next w:val="Normal"/>
    <w:link w:val="Heading1Char"/>
    <w:uiPriority w:val="9"/>
    <w:qFormat/>
    <w:rsid w:val="0089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00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00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900E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00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00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00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900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0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90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0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00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00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900EB"/>
    <w:pPr>
      <w:ind w:left="720"/>
      <w:contextualSpacing/>
    </w:pPr>
  </w:style>
  <w:style w:type="table" w:styleId="TableGrid">
    <w:name w:val="Table Grid"/>
    <w:basedOn w:val="TableNormal"/>
    <w:uiPriority w:val="39"/>
    <w:rsid w:val="00FD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900E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D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0B"/>
    <w:rPr>
      <w:rFonts w:ascii="Tahoma" w:hAnsi="Tahoma" w:cs="Tahoma"/>
      <w:sz w:val="16"/>
      <w:szCs w:val="16"/>
    </w:rPr>
  </w:style>
  <w:style w:type="character" w:styleId="Emphasis">
    <w:name w:val="Emphasis"/>
    <w:basedOn w:val="DefaultParagraphFont"/>
    <w:uiPriority w:val="20"/>
    <w:qFormat/>
    <w:rsid w:val="008900EB"/>
    <w:rPr>
      <w:i/>
      <w:iCs/>
    </w:rPr>
  </w:style>
  <w:style w:type="paragraph" w:styleId="Caption">
    <w:name w:val="caption"/>
    <w:basedOn w:val="Normal"/>
    <w:next w:val="Normal"/>
    <w:uiPriority w:val="35"/>
    <w:unhideWhenUsed/>
    <w:qFormat/>
    <w:rsid w:val="008900EB"/>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900EB"/>
    <w:pPr>
      <w:outlineLvl w:val="9"/>
    </w:pPr>
  </w:style>
  <w:style w:type="paragraph" w:styleId="TOC1">
    <w:name w:val="toc 1"/>
    <w:basedOn w:val="Normal"/>
    <w:next w:val="Normal"/>
    <w:autoRedefine/>
    <w:uiPriority w:val="39"/>
    <w:unhideWhenUsed/>
    <w:rsid w:val="004D31D8"/>
    <w:pPr>
      <w:spacing w:after="100"/>
    </w:pPr>
  </w:style>
  <w:style w:type="paragraph" w:styleId="TOC2">
    <w:name w:val="toc 2"/>
    <w:basedOn w:val="Normal"/>
    <w:next w:val="Normal"/>
    <w:autoRedefine/>
    <w:uiPriority w:val="39"/>
    <w:unhideWhenUsed/>
    <w:rsid w:val="004D31D8"/>
    <w:pPr>
      <w:spacing w:after="100"/>
      <w:ind w:left="220"/>
    </w:pPr>
  </w:style>
  <w:style w:type="paragraph" w:styleId="TOC3">
    <w:name w:val="toc 3"/>
    <w:basedOn w:val="Normal"/>
    <w:next w:val="Normal"/>
    <w:autoRedefine/>
    <w:uiPriority w:val="39"/>
    <w:unhideWhenUsed/>
    <w:rsid w:val="004D31D8"/>
    <w:pPr>
      <w:spacing w:after="100"/>
      <w:ind w:left="440"/>
    </w:pPr>
  </w:style>
  <w:style w:type="character" w:styleId="Hyperlink">
    <w:name w:val="Hyperlink"/>
    <w:basedOn w:val="DefaultParagraphFont"/>
    <w:uiPriority w:val="99"/>
    <w:unhideWhenUsed/>
    <w:rsid w:val="004D31D8"/>
    <w:rPr>
      <w:color w:val="0000FF" w:themeColor="hyperlink"/>
      <w:u w:val="single"/>
    </w:rPr>
  </w:style>
  <w:style w:type="paragraph" w:styleId="TableofFigures">
    <w:name w:val="table of figures"/>
    <w:basedOn w:val="Normal"/>
    <w:next w:val="Normal"/>
    <w:uiPriority w:val="99"/>
    <w:unhideWhenUsed/>
    <w:rsid w:val="004D31D8"/>
    <w:pPr>
      <w:spacing w:after="0"/>
    </w:pPr>
  </w:style>
  <w:style w:type="paragraph" w:styleId="Header">
    <w:name w:val="header"/>
    <w:basedOn w:val="Normal"/>
    <w:link w:val="HeaderChar"/>
    <w:uiPriority w:val="99"/>
    <w:unhideWhenUsed/>
    <w:rsid w:val="005B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19"/>
  </w:style>
  <w:style w:type="paragraph" w:styleId="Footer">
    <w:name w:val="footer"/>
    <w:basedOn w:val="Normal"/>
    <w:link w:val="FooterChar"/>
    <w:uiPriority w:val="99"/>
    <w:unhideWhenUsed/>
    <w:rsid w:val="005B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19"/>
  </w:style>
  <w:style w:type="character" w:styleId="CommentReference">
    <w:name w:val="annotation reference"/>
    <w:basedOn w:val="DefaultParagraphFont"/>
    <w:uiPriority w:val="99"/>
    <w:semiHidden/>
    <w:unhideWhenUsed/>
    <w:rsid w:val="004820E6"/>
    <w:rPr>
      <w:sz w:val="16"/>
      <w:szCs w:val="16"/>
    </w:rPr>
  </w:style>
  <w:style w:type="paragraph" w:styleId="CommentText">
    <w:name w:val="annotation text"/>
    <w:basedOn w:val="Normal"/>
    <w:link w:val="CommentTextChar"/>
    <w:uiPriority w:val="99"/>
    <w:unhideWhenUsed/>
    <w:rsid w:val="004820E6"/>
    <w:pPr>
      <w:spacing w:line="240" w:lineRule="auto"/>
    </w:pPr>
    <w:rPr>
      <w:sz w:val="20"/>
      <w:szCs w:val="20"/>
    </w:rPr>
  </w:style>
  <w:style w:type="character" w:customStyle="1" w:styleId="CommentTextChar">
    <w:name w:val="Comment Text Char"/>
    <w:basedOn w:val="DefaultParagraphFont"/>
    <w:link w:val="CommentText"/>
    <w:uiPriority w:val="99"/>
    <w:rsid w:val="004820E6"/>
    <w:rPr>
      <w:sz w:val="20"/>
      <w:szCs w:val="20"/>
    </w:rPr>
  </w:style>
  <w:style w:type="character" w:customStyle="1" w:styleId="Heading4Char">
    <w:name w:val="Heading 4 Char"/>
    <w:basedOn w:val="DefaultParagraphFont"/>
    <w:link w:val="Heading4"/>
    <w:uiPriority w:val="9"/>
    <w:rsid w:val="008900EB"/>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030533"/>
    <w:rPr>
      <w:b/>
      <w:bCs/>
    </w:rPr>
  </w:style>
  <w:style w:type="character" w:customStyle="1" w:styleId="CommentSubjectChar">
    <w:name w:val="Comment Subject Char"/>
    <w:basedOn w:val="CommentTextChar"/>
    <w:link w:val="CommentSubject"/>
    <w:uiPriority w:val="99"/>
    <w:semiHidden/>
    <w:rsid w:val="00030533"/>
    <w:rPr>
      <w:b/>
      <w:bCs/>
      <w:sz w:val="20"/>
      <w:szCs w:val="20"/>
    </w:rPr>
  </w:style>
  <w:style w:type="paragraph" w:styleId="EndnoteText">
    <w:name w:val="endnote text"/>
    <w:basedOn w:val="Normal"/>
    <w:link w:val="EndnoteTextChar"/>
    <w:uiPriority w:val="99"/>
    <w:semiHidden/>
    <w:unhideWhenUsed/>
    <w:rsid w:val="004E2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F80"/>
    <w:rPr>
      <w:sz w:val="20"/>
      <w:szCs w:val="20"/>
    </w:rPr>
  </w:style>
  <w:style w:type="character" w:styleId="EndnoteReference">
    <w:name w:val="endnote reference"/>
    <w:basedOn w:val="DefaultParagraphFont"/>
    <w:uiPriority w:val="99"/>
    <w:semiHidden/>
    <w:unhideWhenUsed/>
    <w:rsid w:val="004E2F80"/>
    <w:rPr>
      <w:vertAlign w:val="superscript"/>
    </w:rPr>
  </w:style>
  <w:style w:type="paragraph" w:styleId="FootnoteText">
    <w:name w:val="footnote text"/>
    <w:basedOn w:val="Normal"/>
    <w:link w:val="FootnoteTextChar"/>
    <w:uiPriority w:val="99"/>
    <w:unhideWhenUsed/>
    <w:rsid w:val="004E2F80"/>
    <w:pPr>
      <w:spacing w:after="0" w:line="240" w:lineRule="auto"/>
    </w:pPr>
    <w:rPr>
      <w:sz w:val="20"/>
      <w:szCs w:val="20"/>
    </w:rPr>
  </w:style>
  <w:style w:type="character" w:customStyle="1" w:styleId="FootnoteTextChar">
    <w:name w:val="Footnote Text Char"/>
    <w:basedOn w:val="DefaultParagraphFont"/>
    <w:link w:val="FootnoteText"/>
    <w:uiPriority w:val="99"/>
    <w:rsid w:val="004E2F80"/>
    <w:rPr>
      <w:sz w:val="20"/>
      <w:szCs w:val="20"/>
    </w:rPr>
  </w:style>
  <w:style w:type="character" w:styleId="FootnoteReference">
    <w:name w:val="footnote reference"/>
    <w:basedOn w:val="DefaultParagraphFont"/>
    <w:uiPriority w:val="99"/>
    <w:semiHidden/>
    <w:unhideWhenUsed/>
    <w:rsid w:val="004E2F80"/>
    <w:rPr>
      <w:vertAlign w:val="superscript"/>
    </w:rPr>
  </w:style>
  <w:style w:type="character" w:customStyle="1" w:styleId="Heading5Char">
    <w:name w:val="Heading 5 Char"/>
    <w:basedOn w:val="DefaultParagraphFont"/>
    <w:link w:val="Heading5"/>
    <w:uiPriority w:val="9"/>
    <w:rsid w:val="008900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00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00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00E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900EB"/>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900EB"/>
    <w:rPr>
      <w:b/>
      <w:bCs/>
    </w:rPr>
  </w:style>
  <w:style w:type="paragraph" w:styleId="NoSpacing">
    <w:name w:val="No Spacing"/>
    <w:uiPriority w:val="1"/>
    <w:qFormat/>
    <w:rsid w:val="008900EB"/>
    <w:pPr>
      <w:spacing w:after="0" w:line="240" w:lineRule="auto"/>
    </w:pPr>
  </w:style>
  <w:style w:type="paragraph" w:styleId="Quote">
    <w:name w:val="Quote"/>
    <w:basedOn w:val="Normal"/>
    <w:next w:val="Normal"/>
    <w:link w:val="QuoteChar"/>
    <w:uiPriority w:val="29"/>
    <w:qFormat/>
    <w:rsid w:val="008900EB"/>
    <w:rPr>
      <w:i/>
      <w:iCs/>
      <w:color w:val="000000" w:themeColor="text1"/>
    </w:rPr>
  </w:style>
  <w:style w:type="character" w:customStyle="1" w:styleId="QuoteChar">
    <w:name w:val="Quote Char"/>
    <w:basedOn w:val="DefaultParagraphFont"/>
    <w:link w:val="Quote"/>
    <w:uiPriority w:val="29"/>
    <w:rsid w:val="008900EB"/>
    <w:rPr>
      <w:i/>
      <w:iCs/>
      <w:color w:val="000000" w:themeColor="text1"/>
    </w:rPr>
  </w:style>
  <w:style w:type="paragraph" w:styleId="IntenseQuote">
    <w:name w:val="Intense Quote"/>
    <w:basedOn w:val="Normal"/>
    <w:next w:val="Normal"/>
    <w:link w:val="IntenseQuoteChar"/>
    <w:uiPriority w:val="30"/>
    <w:qFormat/>
    <w:rsid w:val="008900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00EB"/>
    <w:rPr>
      <w:b/>
      <w:bCs/>
      <w:i/>
      <w:iCs/>
      <w:color w:val="4F81BD" w:themeColor="accent1"/>
    </w:rPr>
  </w:style>
  <w:style w:type="character" w:styleId="SubtleEmphasis">
    <w:name w:val="Subtle Emphasis"/>
    <w:basedOn w:val="DefaultParagraphFont"/>
    <w:uiPriority w:val="19"/>
    <w:qFormat/>
    <w:rsid w:val="008900EB"/>
    <w:rPr>
      <w:i/>
      <w:iCs/>
      <w:color w:val="808080" w:themeColor="text1" w:themeTint="7F"/>
    </w:rPr>
  </w:style>
  <w:style w:type="character" w:styleId="IntenseEmphasis">
    <w:name w:val="Intense Emphasis"/>
    <w:basedOn w:val="DefaultParagraphFont"/>
    <w:uiPriority w:val="21"/>
    <w:qFormat/>
    <w:rsid w:val="008900EB"/>
    <w:rPr>
      <w:b/>
      <w:bCs/>
      <w:i/>
      <w:iCs/>
      <w:color w:val="4F81BD" w:themeColor="accent1"/>
    </w:rPr>
  </w:style>
  <w:style w:type="character" w:styleId="SubtleReference">
    <w:name w:val="Subtle Reference"/>
    <w:basedOn w:val="DefaultParagraphFont"/>
    <w:uiPriority w:val="31"/>
    <w:qFormat/>
    <w:rsid w:val="008900EB"/>
    <w:rPr>
      <w:smallCaps/>
      <w:color w:val="C0504D" w:themeColor="accent2"/>
      <w:u w:val="single"/>
    </w:rPr>
  </w:style>
  <w:style w:type="character" w:styleId="IntenseReference">
    <w:name w:val="Intense Reference"/>
    <w:basedOn w:val="DefaultParagraphFont"/>
    <w:uiPriority w:val="32"/>
    <w:qFormat/>
    <w:rsid w:val="008900EB"/>
    <w:rPr>
      <w:b/>
      <w:bCs/>
      <w:smallCaps/>
      <w:color w:val="C0504D" w:themeColor="accent2"/>
      <w:spacing w:val="5"/>
      <w:u w:val="single"/>
    </w:rPr>
  </w:style>
  <w:style w:type="character" w:styleId="BookTitle">
    <w:name w:val="Book Title"/>
    <w:basedOn w:val="DefaultParagraphFont"/>
    <w:uiPriority w:val="33"/>
    <w:qFormat/>
    <w:rsid w:val="008900EB"/>
    <w:rPr>
      <w:b/>
      <w:bCs/>
      <w:smallCaps/>
      <w:spacing w:val="5"/>
    </w:rPr>
  </w:style>
  <w:style w:type="paragraph" w:styleId="NormalWeb">
    <w:name w:val="Normal (Web)"/>
    <w:basedOn w:val="Normal"/>
    <w:uiPriority w:val="99"/>
    <w:semiHidden/>
    <w:unhideWhenUsed/>
    <w:rsid w:val="002B613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F5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015">
      <w:bodyDiv w:val="1"/>
      <w:marLeft w:val="0"/>
      <w:marRight w:val="0"/>
      <w:marTop w:val="0"/>
      <w:marBottom w:val="0"/>
      <w:divBdr>
        <w:top w:val="none" w:sz="0" w:space="0" w:color="auto"/>
        <w:left w:val="none" w:sz="0" w:space="0" w:color="auto"/>
        <w:bottom w:val="none" w:sz="0" w:space="0" w:color="auto"/>
        <w:right w:val="none" w:sz="0" w:space="0" w:color="auto"/>
      </w:divBdr>
    </w:div>
    <w:div w:id="150414629">
      <w:bodyDiv w:val="1"/>
      <w:marLeft w:val="0"/>
      <w:marRight w:val="0"/>
      <w:marTop w:val="0"/>
      <w:marBottom w:val="0"/>
      <w:divBdr>
        <w:top w:val="none" w:sz="0" w:space="0" w:color="auto"/>
        <w:left w:val="none" w:sz="0" w:space="0" w:color="auto"/>
        <w:bottom w:val="none" w:sz="0" w:space="0" w:color="auto"/>
        <w:right w:val="none" w:sz="0" w:space="0" w:color="auto"/>
      </w:divBdr>
    </w:div>
    <w:div w:id="155732281">
      <w:bodyDiv w:val="1"/>
      <w:marLeft w:val="0"/>
      <w:marRight w:val="0"/>
      <w:marTop w:val="0"/>
      <w:marBottom w:val="0"/>
      <w:divBdr>
        <w:top w:val="none" w:sz="0" w:space="0" w:color="auto"/>
        <w:left w:val="none" w:sz="0" w:space="0" w:color="auto"/>
        <w:bottom w:val="none" w:sz="0" w:space="0" w:color="auto"/>
        <w:right w:val="none" w:sz="0" w:space="0" w:color="auto"/>
      </w:divBdr>
    </w:div>
    <w:div w:id="198706144">
      <w:bodyDiv w:val="1"/>
      <w:marLeft w:val="0"/>
      <w:marRight w:val="0"/>
      <w:marTop w:val="0"/>
      <w:marBottom w:val="0"/>
      <w:divBdr>
        <w:top w:val="none" w:sz="0" w:space="0" w:color="auto"/>
        <w:left w:val="none" w:sz="0" w:space="0" w:color="auto"/>
        <w:bottom w:val="none" w:sz="0" w:space="0" w:color="auto"/>
        <w:right w:val="none" w:sz="0" w:space="0" w:color="auto"/>
      </w:divBdr>
    </w:div>
    <w:div w:id="432823606">
      <w:bodyDiv w:val="1"/>
      <w:marLeft w:val="0"/>
      <w:marRight w:val="0"/>
      <w:marTop w:val="0"/>
      <w:marBottom w:val="0"/>
      <w:divBdr>
        <w:top w:val="none" w:sz="0" w:space="0" w:color="auto"/>
        <w:left w:val="none" w:sz="0" w:space="0" w:color="auto"/>
        <w:bottom w:val="none" w:sz="0" w:space="0" w:color="auto"/>
        <w:right w:val="none" w:sz="0" w:space="0" w:color="auto"/>
      </w:divBdr>
    </w:div>
    <w:div w:id="504326909">
      <w:bodyDiv w:val="1"/>
      <w:marLeft w:val="0"/>
      <w:marRight w:val="0"/>
      <w:marTop w:val="0"/>
      <w:marBottom w:val="0"/>
      <w:divBdr>
        <w:top w:val="none" w:sz="0" w:space="0" w:color="auto"/>
        <w:left w:val="none" w:sz="0" w:space="0" w:color="auto"/>
        <w:bottom w:val="none" w:sz="0" w:space="0" w:color="auto"/>
        <w:right w:val="none" w:sz="0" w:space="0" w:color="auto"/>
      </w:divBdr>
    </w:div>
    <w:div w:id="894699616">
      <w:bodyDiv w:val="1"/>
      <w:marLeft w:val="0"/>
      <w:marRight w:val="0"/>
      <w:marTop w:val="0"/>
      <w:marBottom w:val="0"/>
      <w:divBdr>
        <w:top w:val="none" w:sz="0" w:space="0" w:color="auto"/>
        <w:left w:val="none" w:sz="0" w:space="0" w:color="auto"/>
        <w:bottom w:val="none" w:sz="0" w:space="0" w:color="auto"/>
        <w:right w:val="none" w:sz="0" w:space="0" w:color="auto"/>
      </w:divBdr>
    </w:div>
    <w:div w:id="1029064677">
      <w:bodyDiv w:val="1"/>
      <w:marLeft w:val="0"/>
      <w:marRight w:val="0"/>
      <w:marTop w:val="0"/>
      <w:marBottom w:val="0"/>
      <w:divBdr>
        <w:top w:val="none" w:sz="0" w:space="0" w:color="auto"/>
        <w:left w:val="none" w:sz="0" w:space="0" w:color="auto"/>
        <w:bottom w:val="none" w:sz="0" w:space="0" w:color="auto"/>
        <w:right w:val="none" w:sz="0" w:space="0" w:color="auto"/>
      </w:divBdr>
    </w:div>
    <w:div w:id="1305744433">
      <w:bodyDiv w:val="1"/>
      <w:marLeft w:val="0"/>
      <w:marRight w:val="0"/>
      <w:marTop w:val="0"/>
      <w:marBottom w:val="0"/>
      <w:divBdr>
        <w:top w:val="none" w:sz="0" w:space="0" w:color="auto"/>
        <w:left w:val="none" w:sz="0" w:space="0" w:color="auto"/>
        <w:bottom w:val="none" w:sz="0" w:space="0" w:color="auto"/>
        <w:right w:val="none" w:sz="0" w:space="0" w:color="auto"/>
      </w:divBdr>
      <w:divsChild>
        <w:div w:id="1642342832">
          <w:marLeft w:val="0"/>
          <w:marRight w:val="0"/>
          <w:marTop w:val="0"/>
          <w:marBottom w:val="0"/>
          <w:divBdr>
            <w:top w:val="none" w:sz="0" w:space="0" w:color="auto"/>
            <w:left w:val="none" w:sz="0" w:space="0" w:color="auto"/>
            <w:bottom w:val="none" w:sz="0" w:space="0" w:color="auto"/>
            <w:right w:val="none" w:sz="0" w:space="0" w:color="auto"/>
          </w:divBdr>
          <w:divsChild>
            <w:div w:id="1166558419">
              <w:marLeft w:val="0"/>
              <w:marRight w:val="0"/>
              <w:marTop w:val="0"/>
              <w:marBottom w:val="0"/>
              <w:divBdr>
                <w:top w:val="none" w:sz="0" w:space="0" w:color="auto"/>
                <w:left w:val="none" w:sz="0" w:space="0" w:color="auto"/>
                <w:bottom w:val="none" w:sz="0" w:space="0" w:color="auto"/>
                <w:right w:val="none" w:sz="0" w:space="0" w:color="auto"/>
              </w:divBdr>
              <w:divsChild>
                <w:div w:id="460614108">
                  <w:marLeft w:val="0"/>
                  <w:marRight w:val="0"/>
                  <w:marTop w:val="0"/>
                  <w:marBottom w:val="0"/>
                  <w:divBdr>
                    <w:top w:val="none" w:sz="0" w:space="0" w:color="auto"/>
                    <w:left w:val="none" w:sz="0" w:space="0" w:color="auto"/>
                    <w:bottom w:val="none" w:sz="0" w:space="0" w:color="auto"/>
                    <w:right w:val="none" w:sz="0" w:space="0" w:color="auto"/>
                  </w:divBdr>
                  <w:divsChild>
                    <w:div w:id="260769329">
                      <w:marLeft w:val="0"/>
                      <w:marRight w:val="0"/>
                      <w:marTop w:val="0"/>
                      <w:marBottom w:val="0"/>
                      <w:divBdr>
                        <w:top w:val="none" w:sz="0" w:space="0" w:color="auto"/>
                        <w:left w:val="none" w:sz="0" w:space="0" w:color="auto"/>
                        <w:bottom w:val="none" w:sz="0" w:space="0" w:color="auto"/>
                        <w:right w:val="none" w:sz="0" w:space="0" w:color="auto"/>
                      </w:divBdr>
                      <w:divsChild>
                        <w:div w:id="18652413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9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54836">
      <w:bodyDiv w:val="1"/>
      <w:marLeft w:val="0"/>
      <w:marRight w:val="0"/>
      <w:marTop w:val="0"/>
      <w:marBottom w:val="0"/>
      <w:divBdr>
        <w:top w:val="none" w:sz="0" w:space="0" w:color="auto"/>
        <w:left w:val="none" w:sz="0" w:space="0" w:color="auto"/>
        <w:bottom w:val="none" w:sz="0" w:space="0" w:color="auto"/>
        <w:right w:val="none" w:sz="0" w:space="0" w:color="auto"/>
      </w:divBdr>
    </w:div>
    <w:div w:id="1506745162">
      <w:bodyDiv w:val="1"/>
      <w:marLeft w:val="0"/>
      <w:marRight w:val="0"/>
      <w:marTop w:val="0"/>
      <w:marBottom w:val="0"/>
      <w:divBdr>
        <w:top w:val="none" w:sz="0" w:space="0" w:color="auto"/>
        <w:left w:val="none" w:sz="0" w:space="0" w:color="auto"/>
        <w:bottom w:val="none" w:sz="0" w:space="0" w:color="auto"/>
        <w:right w:val="none" w:sz="0" w:space="0" w:color="auto"/>
      </w:divBdr>
    </w:div>
    <w:div w:id="1605267982">
      <w:bodyDiv w:val="1"/>
      <w:marLeft w:val="0"/>
      <w:marRight w:val="0"/>
      <w:marTop w:val="0"/>
      <w:marBottom w:val="0"/>
      <w:divBdr>
        <w:top w:val="none" w:sz="0" w:space="0" w:color="auto"/>
        <w:left w:val="none" w:sz="0" w:space="0" w:color="auto"/>
        <w:bottom w:val="none" w:sz="0" w:space="0" w:color="auto"/>
        <w:right w:val="none" w:sz="0" w:space="0" w:color="auto"/>
      </w:divBdr>
    </w:div>
    <w:div w:id="1686052736">
      <w:bodyDiv w:val="1"/>
      <w:marLeft w:val="0"/>
      <w:marRight w:val="0"/>
      <w:marTop w:val="0"/>
      <w:marBottom w:val="0"/>
      <w:divBdr>
        <w:top w:val="none" w:sz="0" w:space="0" w:color="auto"/>
        <w:left w:val="none" w:sz="0" w:space="0" w:color="auto"/>
        <w:bottom w:val="none" w:sz="0" w:space="0" w:color="auto"/>
        <w:right w:val="none" w:sz="0" w:space="0" w:color="auto"/>
      </w:divBdr>
    </w:div>
    <w:div w:id="2054649155">
      <w:bodyDiv w:val="1"/>
      <w:marLeft w:val="0"/>
      <w:marRight w:val="0"/>
      <w:marTop w:val="0"/>
      <w:marBottom w:val="0"/>
      <w:divBdr>
        <w:top w:val="none" w:sz="0" w:space="0" w:color="auto"/>
        <w:left w:val="none" w:sz="0" w:space="0" w:color="auto"/>
        <w:bottom w:val="none" w:sz="0" w:space="0" w:color="auto"/>
        <w:right w:val="none" w:sz="0" w:space="0" w:color="auto"/>
      </w:divBdr>
    </w:div>
    <w:div w:id="20763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5E08-A744-42B9-858A-2544D194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3906</Words>
  <Characters>22266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Garcia</dc:creator>
  <cp:lastModifiedBy>Robert Z. Lee</cp:lastModifiedBy>
  <cp:revision>2</cp:revision>
  <cp:lastPrinted>2015-01-28T19:14:00Z</cp:lastPrinted>
  <dcterms:created xsi:type="dcterms:W3CDTF">2015-03-24T20:07:00Z</dcterms:created>
  <dcterms:modified xsi:type="dcterms:W3CDTF">2015-03-24T20:07:00Z</dcterms:modified>
</cp:coreProperties>
</file>