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35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EE488D" w:rsidRPr="000A32A8" w:rsidTr="00EE488D">
        <w:tc>
          <w:tcPr>
            <w:tcW w:w="10620" w:type="dxa"/>
            <w:gridSpan w:val="5"/>
            <w:shd w:val="clear" w:color="auto" w:fill="000000" w:themeFill="text1"/>
          </w:tcPr>
          <w:p w:rsidR="00EE488D" w:rsidRPr="000A32A8" w:rsidRDefault="00EE488D" w:rsidP="00E567F3">
            <w:pPr>
              <w:tabs>
                <w:tab w:val="left" w:pos="3780"/>
              </w:tabs>
              <w:jc w:val="center"/>
              <w:rPr>
                <w:rFonts w:cstheme="minorHAnsi"/>
                <w:b/>
              </w:rPr>
            </w:pPr>
            <w:r w:rsidRPr="002B23F9">
              <w:rPr>
                <w:rFonts w:cstheme="minorHAnsi"/>
                <w:b/>
                <w:sz w:val="24"/>
              </w:rPr>
              <w:t>Principle 3: The REDD+ program improves long-term livelihood security and well-being of Indigenous Peoples and local communities with special attention to the most vulnerable people.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C73FC7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3.</w:t>
            </w:r>
            <w:r w:rsidR="00C73FC7">
              <w:rPr>
                <w:rFonts w:cstheme="minorHAnsi"/>
              </w:rPr>
              <w:t>2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There is participatory assessment of positive and negative social, cultural and economic impacts of the REDD+ program including both predicted and actual impacts.</w:t>
            </w:r>
          </w:p>
        </w:tc>
      </w:tr>
      <w:tr w:rsidR="00EE488D" w:rsidRPr="000A32A8" w:rsidTr="00EE488D">
        <w:tc>
          <w:tcPr>
            <w:tcW w:w="10620" w:type="dxa"/>
            <w:gridSpan w:val="5"/>
          </w:tcPr>
          <w:p w:rsidR="00EE488D" w:rsidRPr="000A32A8" w:rsidRDefault="00EE488D" w:rsidP="00D57FBF">
            <w:pPr>
              <w:jc w:val="center"/>
              <w:rPr>
                <w:rFonts w:cstheme="minorHAnsi"/>
                <w:b/>
              </w:rPr>
            </w:pPr>
            <w:r w:rsidRPr="000A32A8">
              <w:rPr>
                <w:rFonts w:cstheme="minorHAnsi"/>
                <w:b/>
              </w:rPr>
              <w:t>Project Indicators to Ensure Compliance to Principle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Theme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Indicator</w:t>
            </w:r>
          </w:p>
        </w:tc>
        <w:tc>
          <w:tcPr>
            <w:tcW w:w="315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Reference</w:t>
            </w:r>
          </w:p>
        </w:tc>
        <w:tc>
          <w:tcPr>
            <w:tcW w:w="378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Requirement for Verification 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C73FC7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Participatory assessment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C73FC7" w:rsidRDefault="00C73FC7" w:rsidP="00C73F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3FC7">
              <w:rPr>
                <w:rFonts w:ascii="Arial" w:hAnsi="Arial" w:cs="Arial"/>
                <w:sz w:val="21"/>
                <w:szCs w:val="21"/>
              </w:rPr>
              <w:t>A participatory process is established and implemented to assess the predicted and actual positive and negative social, cultural, human rights environmental and economic impacts of the REDD+ program for Indigenous Peoples and local communities and specifically for the most vulnerable</w:t>
            </w:r>
            <w:r>
              <w:rPr>
                <w:rFonts w:ascii="Arial" w:hAnsi="Arial" w:cs="Arial"/>
                <w:sz w:val="21"/>
                <w:szCs w:val="21"/>
              </w:rPr>
              <w:t xml:space="preserve"> people among them, including gender differentiated impacts.</w:t>
            </w:r>
          </w:p>
          <w:p w:rsidR="00C73FC7" w:rsidRPr="000A32A8" w:rsidRDefault="00C73FC7" w:rsidP="00C73F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3FC7">
              <w:rPr>
                <w:rFonts w:ascii="Arial" w:hAnsi="Arial" w:cs="Arial"/>
                <w:sz w:val="21"/>
                <w:szCs w:val="21"/>
              </w:rPr>
              <w:t>The social, cultural, human rights, environmental and economic impact monitoring takes a differentiated approach that can identify positive and negative impacts on the most</w:t>
            </w:r>
            <w:r>
              <w:rPr>
                <w:rFonts w:ascii="Arial" w:hAnsi="Arial" w:cs="Arial"/>
                <w:sz w:val="21"/>
                <w:szCs w:val="21"/>
              </w:rPr>
              <w:t xml:space="preserve"> vulnerable people, including gender differentiated impacts.</w:t>
            </w:r>
          </w:p>
        </w:tc>
      </w:tr>
    </w:tbl>
    <w:p w:rsidR="00EE488D" w:rsidRPr="000A32A8" w:rsidRDefault="00EE488D" w:rsidP="002448C2">
      <w:pPr>
        <w:rPr>
          <w:rFonts w:cstheme="minorHAnsi"/>
        </w:rPr>
      </w:pPr>
    </w:p>
    <w:tbl>
      <w:tblPr>
        <w:tblStyle w:val="TableGrid"/>
        <w:tblW w:w="10620" w:type="dxa"/>
        <w:tblInd w:w="35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EE488D" w:rsidRPr="000A32A8" w:rsidTr="00EE488D">
        <w:tc>
          <w:tcPr>
            <w:tcW w:w="10620" w:type="dxa"/>
            <w:gridSpan w:val="5"/>
            <w:shd w:val="clear" w:color="auto" w:fill="000000" w:themeFill="text1"/>
          </w:tcPr>
          <w:p w:rsidR="00EE488D" w:rsidRPr="000A32A8" w:rsidRDefault="00EE488D" w:rsidP="00E567F3">
            <w:pPr>
              <w:tabs>
                <w:tab w:val="left" w:pos="3780"/>
              </w:tabs>
              <w:jc w:val="center"/>
              <w:rPr>
                <w:rFonts w:cstheme="minorHAnsi"/>
                <w:b/>
              </w:rPr>
            </w:pPr>
            <w:r w:rsidRPr="002B23F9">
              <w:rPr>
                <w:rFonts w:cstheme="minorHAnsi"/>
                <w:b/>
                <w:sz w:val="24"/>
              </w:rPr>
              <w:t>Principle 4:</w:t>
            </w:r>
            <w:r w:rsidRPr="002B23F9">
              <w:rPr>
                <w:rFonts w:cstheme="minorHAnsi"/>
                <w:sz w:val="24"/>
              </w:rPr>
              <w:t xml:space="preserve"> </w:t>
            </w:r>
            <w:r w:rsidRPr="002B23F9">
              <w:rPr>
                <w:rFonts w:cstheme="minorHAnsi"/>
                <w:b/>
                <w:sz w:val="24"/>
              </w:rPr>
              <w:t>The REDD+ program contributes to broader sustainable development and good governance objectives.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4.1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 REDD+ program contributes to achieving the objectives of sustainable development policies, strategies and plans established at national and other relevant levels.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4.2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 REDD+ program leads to improvements in governance of the forest sector and other relevant sectors.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041B52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4.</w:t>
            </w:r>
            <w:r w:rsidR="00041B52">
              <w:rPr>
                <w:rFonts w:cstheme="minorHAnsi"/>
              </w:rPr>
              <w:t>4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There is strong government commitment to the REDD+ program in their country.</w:t>
            </w:r>
          </w:p>
        </w:tc>
      </w:tr>
      <w:tr w:rsidR="004E2B7A" w:rsidRPr="000A32A8" w:rsidTr="00004C9A">
        <w:trPr>
          <w:trHeight w:val="1074"/>
        </w:trPr>
        <w:tc>
          <w:tcPr>
            <w:tcW w:w="540" w:type="dxa"/>
          </w:tcPr>
          <w:p w:rsidR="004E2B7A" w:rsidRPr="000A32A8" w:rsidRDefault="004E2B7A" w:rsidP="00041B52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4.</w:t>
            </w:r>
            <w:r>
              <w:rPr>
                <w:rFonts w:cstheme="minorHAnsi"/>
              </w:rPr>
              <w:t>5</w:t>
            </w:r>
          </w:p>
        </w:tc>
        <w:tc>
          <w:tcPr>
            <w:tcW w:w="10080" w:type="dxa"/>
            <w:gridSpan w:val="4"/>
            <w:vAlign w:val="center"/>
          </w:tcPr>
          <w:p w:rsidR="004E2B7A" w:rsidRPr="000A32A8" w:rsidRDefault="004E2B7A" w:rsidP="004E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 w:cs="Arial"/>
                <w:sz w:val="21"/>
                <w:szCs w:val="21"/>
              </w:rPr>
              <w:t>The REDD+ program is coherent with relevant policies, strategies and plans at all relevant levels and there is effective coordination between government and other agencies/organizations responsible for the design, implementation and evaluation of the REDD+ program and other relevant government agencies/organizations</w:t>
            </w:r>
          </w:p>
        </w:tc>
      </w:tr>
      <w:tr w:rsidR="00EE488D" w:rsidRPr="000A32A8" w:rsidTr="00EE488D">
        <w:tc>
          <w:tcPr>
            <w:tcW w:w="10620" w:type="dxa"/>
            <w:gridSpan w:val="5"/>
          </w:tcPr>
          <w:p w:rsidR="00EE488D" w:rsidRPr="000A32A8" w:rsidRDefault="00EE488D" w:rsidP="00D57FBF">
            <w:pPr>
              <w:jc w:val="center"/>
              <w:rPr>
                <w:rFonts w:cstheme="minorHAnsi"/>
                <w:b/>
              </w:rPr>
            </w:pPr>
            <w:r w:rsidRPr="000A32A8">
              <w:rPr>
                <w:rFonts w:cstheme="minorHAnsi"/>
                <w:b/>
              </w:rPr>
              <w:t>Project Indicators to Ensure Compliance to Principle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Theme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Indicator</w:t>
            </w:r>
          </w:p>
        </w:tc>
        <w:tc>
          <w:tcPr>
            <w:tcW w:w="315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Reference</w:t>
            </w:r>
          </w:p>
        </w:tc>
        <w:tc>
          <w:tcPr>
            <w:tcW w:w="378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Requirement for Verification 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C73FC7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Sustainability Policies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C73FC7" w:rsidRDefault="00C73FC7" w:rsidP="00C73F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3FC7">
              <w:rPr>
                <w:rFonts w:ascii="Arial" w:hAnsi="Arial" w:cs="Arial"/>
                <w:sz w:val="21"/>
                <w:szCs w:val="21"/>
              </w:rPr>
              <w:t>4.1.2 The REDD+ program elaborates how its policies and measures will contribute to the implementation of any existing biodiversity policies, strategies and plans</w:t>
            </w:r>
            <w:r>
              <w:rPr>
                <w:rFonts w:ascii="Arial" w:hAnsi="Arial" w:cs="Arial"/>
                <w:sz w:val="21"/>
                <w:szCs w:val="21"/>
              </w:rPr>
              <w:t xml:space="preserve"> developed at national level and other relevant levels.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C73FC7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t>Forest Sector Governance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C73FC7" w:rsidRPr="00EF5ED5" w:rsidRDefault="00C73FC7" w:rsidP="00EF5E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F5ED5">
              <w:rPr>
                <w:rFonts w:ascii="Arial" w:hAnsi="Arial" w:cs="Arial"/>
                <w:sz w:val="21"/>
                <w:szCs w:val="21"/>
              </w:rPr>
              <w:t>4.2.1 The REDD+ program identifies the broader forest</w:t>
            </w:r>
            <w:r w:rsidR="00EF5ED5" w:rsidRPr="00EF5E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5ED5">
              <w:rPr>
                <w:rFonts w:ascii="Arial" w:hAnsi="Arial" w:cs="Arial"/>
                <w:sz w:val="21"/>
                <w:szCs w:val="21"/>
              </w:rPr>
              <w:t>governance issues that it can address, particularly those</w:t>
            </w:r>
            <w:r w:rsidR="00EF5ED5" w:rsidRPr="00EF5E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5ED5">
              <w:rPr>
                <w:rFonts w:ascii="Arial" w:hAnsi="Arial" w:cs="Arial"/>
                <w:sz w:val="21"/>
                <w:szCs w:val="21"/>
              </w:rPr>
              <w:t xml:space="preserve">related </w:t>
            </w:r>
            <w:r w:rsidRPr="00EF5ED5">
              <w:rPr>
                <w:rFonts w:ascii="Arial" w:hAnsi="Arial" w:cs="Arial"/>
                <w:sz w:val="21"/>
                <w:szCs w:val="21"/>
              </w:rPr>
              <w:lastRenderedPageBreak/>
              <w:t>to the equity</w:t>
            </w:r>
            <w:r w:rsidRPr="00EF5ED5">
              <w:rPr>
                <w:rFonts w:ascii="Arial" w:hAnsi="Arial" w:cs="Arial"/>
                <w:sz w:val="13"/>
                <w:szCs w:val="13"/>
              </w:rPr>
              <w:t>35</w:t>
            </w:r>
            <w:r w:rsidRPr="00EF5ED5">
              <w:rPr>
                <w:rFonts w:ascii="Arial" w:hAnsi="Arial" w:cs="Arial"/>
                <w:sz w:val="21"/>
                <w:szCs w:val="21"/>
              </w:rPr>
              <w:t>, effectiveness and efficiency of the</w:t>
            </w:r>
            <w:r w:rsidR="00EF5ED5" w:rsidRPr="00EF5E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5ED5">
              <w:rPr>
                <w:rFonts w:ascii="Arial" w:hAnsi="Arial" w:cs="Arial"/>
                <w:sz w:val="21"/>
                <w:szCs w:val="21"/>
              </w:rPr>
              <w:t>REDD+ program, and establishes country-specific</w:t>
            </w:r>
            <w:r w:rsidR="00EF5ED5" w:rsidRPr="00EF5E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5ED5">
              <w:rPr>
                <w:rFonts w:ascii="Arial" w:hAnsi="Arial" w:cs="Arial"/>
                <w:sz w:val="21"/>
                <w:szCs w:val="21"/>
              </w:rPr>
              <w:t>performance targets.</w:t>
            </w:r>
          </w:p>
          <w:p w:rsidR="00C73FC7" w:rsidRPr="00EF5ED5" w:rsidRDefault="00C73FC7" w:rsidP="00EF5E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F5ED5">
              <w:rPr>
                <w:rFonts w:ascii="Arial" w:hAnsi="Arial" w:cs="Arial"/>
                <w:sz w:val="21"/>
                <w:szCs w:val="21"/>
              </w:rPr>
              <w:t>4.2.2 The REDD+ program includes institutional capacity</w:t>
            </w:r>
            <w:r w:rsidR="00EF5ED5" w:rsidRPr="00EF5E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5ED5">
              <w:rPr>
                <w:rFonts w:ascii="Arial" w:hAnsi="Arial" w:cs="Arial"/>
                <w:sz w:val="21"/>
                <w:szCs w:val="21"/>
              </w:rPr>
              <w:t>strengthening and other measures that aim to improve</w:t>
            </w:r>
            <w:r w:rsidR="00EF5ED5" w:rsidRPr="00EF5E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5ED5">
              <w:rPr>
                <w:rFonts w:ascii="Arial" w:hAnsi="Arial" w:cs="Arial"/>
                <w:sz w:val="21"/>
                <w:szCs w:val="21"/>
              </w:rPr>
              <w:t>these governance aspects.</w:t>
            </w:r>
          </w:p>
          <w:p w:rsidR="00EE488D" w:rsidRPr="00EF5ED5" w:rsidRDefault="00C73FC7" w:rsidP="00EF5E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F5ED5">
              <w:rPr>
                <w:rFonts w:ascii="Arial" w:hAnsi="Arial" w:cs="Arial"/>
                <w:sz w:val="21"/>
                <w:szCs w:val="21"/>
              </w:rPr>
              <w:t>4.2.3 The REDD+ program monitoring and evaluation plan</w:t>
            </w:r>
            <w:r w:rsidR="00EF5ED5" w:rsidRPr="00EF5E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F5ED5">
              <w:rPr>
                <w:rFonts w:ascii="Arial" w:hAnsi="Arial" w:cs="Arial"/>
                <w:sz w:val="21"/>
                <w:szCs w:val="21"/>
              </w:rPr>
              <w:t>includes key forest governance indicators.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F5ED5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Government Commitment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F5ED5" w:rsidRPr="00EF5ED5" w:rsidRDefault="00EF5ED5" w:rsidP="00EF5ED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1"/>
                <w:szCs w:val="21"/>
              </w:rPr>
            </w:pPr>
            <w:r w:rsidRPr="00EF5ED5">
              <w:rPr>
                <w:rFonts w:ascii="Arial" w:hAnsi="Arial" w:cs="Arial"/>
                <w:sz w:val="21"/>
                <w:szCs w:val="21"/>
              </w:rPr>
              <w:t>4.4.1 REDD+ program institutional arrangements reflect government leadership.</w:t>
            </w:r>
          </w:p>
          <w:p w:rsidR="00EE488D" w:rsidRPr="00EF5ED5" w:rsidRDefault="00EF5ED5" w:rsidP="00EF5ED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8"/>
              <w:rPr>
                <w:rFonts w:cstheme="minorHAnsi"/>
              </w:rPr>
            </w:pPr>
            <w:r w:rsidRPr="00EF5ED5">
              <w:rPr>
                <w:rFonts w:ascii="Arial" w:hAnsi="Arial" w:cs="Arial"/>
                <w:sz w:val="21"/>
                <w:szCs w:val="21"/>
              </w:rPr>
              <w:t>4.4.2 Government agencies/organizations play a leading role in the development, implementation and evaluation of the REDD+ program.</w:t>
            </w:r>
          </w:p>
        </w:tc>
      </w:tr>
      <w:tr w:rsidR="002B23F9" w:rsidRPr="000A32A8" w:rsidTr="00EE488D">
        <w:tc>
          <w:tcPr>
            <w:tcW w:w="1530" w:type="dxa"/>
            <w:gridSpan w:val="2"/>
          </w:tcPr>
          <w:p w:rsidR="002B23F9" w:rsidRPr="000A32A8" w:rsidRDefault="004E2B7A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t>Government and Agency Coordination</w:t>
            </w:r>
          </w:p>
        </w:tc>
        <w:tc>
          <w:tcPr>
            <w:tcW w:w="2160" w:type="dxa"/>
          </w:tcPr>
          <w:p w:rsidR="002B23F9" w:rsidRPr="000A32A8" w:rsidRDefault="002B23F9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2B23F9" w:rsidRPr="000A32A8" w:rsidRDefault="002B23F9" w:rsidP="00D57F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2B23F9" w:rsidRPr="000A32A8" w:rsidRDefault="004E2B7A" w:rsidP="004E2B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8"/>
              <w:rPr>
                <w:rFonts w:cstheme="minorHAnsi"/>
              </w:rPr>
            </w:pPr>
            <w:r w:rsidRPr="004E2B7A">
              <w:rPr>
                <w:rFonts w:ascii="Arial" w:hAnsi="Arial" w:cs="Arial"/>
                <w:sz w:val="21"/>
                <w:szCs w:val="21"/>
              </w:rPr>
              <w:t>4.5.3 The REDD+ program is integrated into the broader</w:t>
            </w:r>
            <w:r>
              <w:rPr>
                <w:rFonts w:ascii="Arial" w:hAnsi="Arial" w:cs="Arial"/>
                <w:sz w:val="21"/>
                <w:szCs w:val="21"/>
              </w:rPr>
              <w:t xml:space="preserve"> policy framework of the forest sector and other relevant sectors.</w:t>
            </w:r>
          </w:p>
        </w:tc>
      </w:tr>
    </w:tbl>
    <w:p w:rsidR="00EE488D" w:rsidRPr="000A32A8" w:rsidRDefault="00EE488D" w:rsidP="002448C2">
      <w:pPr>
        <w:rPr>
          <w:rFonts w:cstheme="minorHAnsi"/>
        </w:rPr>
      </w:pPr>
    </w:p>
    <w:tbl>
      <w:tblPr>
        <w:tblStyle w:val="TableGrid"/>
        <w:tblW w:w="10620" w:type="dxa"/>
        <w:tblInd w:w="35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EE488D" w:rsidRPr="000A32A8" w:rsidTr="00EE488D">
        <w:tc>
          <w:tcPr>
            <w:tcW w:w="10620" w:type="dxa"/>
            <w:gridSpan w:val="5"/>
            <w:shd w:val="clear" w:color="auto" w:fill="000000" w:themeFill="text1"/>
          </w:tcPr>
          <w:p w:rsidR="00EE488D" w:rsidRPr="000A32A8" w:rsidRDefault="00EE488D" w:rsidP="00E567F3">
            <w:pPr>
              <w:tabs>
                <w:tab w:val="left" w:pos="3780"/>
              </w:tabs>
              <w:jc w:val="center"/>
              <w:rPr>
                <w:rFonts w:cstheme="minorHAnsi"/>
                <w:b/>
              </w:rPr>
            </w:pPr>
            <w:r w:rsidRPr="002B23F9">
              <w:rPr>
                <w:rFonts w:cstheme="minorHAnsi"/>
                <w:b/>
                <w:sz w:val="24"/>
              </w:rPr>
              <w:t>Principle 5: The REDD+ program maintains and enhances biodiversity and ecosystem services.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5.1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Biodiversity and ecosystem services potentially affected by the REDD+ program are maintained and enhanced.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5.2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CB68D3" w:rsidP="00CB68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 w:cs="Arial"/>
                <w:sz w:val="21"/>
                <w:szCs w:val="21"/>
              </w:rPr>
              <w:t>The positive and negative environmental impacts of the REDD+ program on biodiversity and ecosystem service priorities and any other negative environmental impacts are assessed including both predicted and actual impacts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CB68D3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5.</w:t>
            </w:r>
            <w:r w:rsidR="00CB68D3">
              <w:rPr>
                <w:rFonts w:cstheme="minorHAnsi"/>
              </w:rPr>
              <w:t>3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 REDD+ program is adapted based on predictive and ongoing impact assessment to mitigate negative, and enhance positive, environmental impacts.</w:t>
            </w:r>
          </w:p>
        </w:tc>
      </w:tr>
      <w:tr w:rsidR="00EE488D" w:rsidRPr="000A32A8" w:rsidTr="00EE488D">
        <w:tc>
          <w:tcPr>
            <w:tcW w:w="10620" w:type="dxa"/>
            <w:gridSpan w:val="5"/>
          </w:tcPr>
          <w:p w:rsidR="00EE488D" w:rsidRPr="000A32A8" w:rsidRDefault="00EE488D" w:rsidP="00D57FBF">
            <w:pPr>
              <w:jc w:val="center"/>
              <w:rPr>
                <w:rFonts w:cstheme="minorHAnsi"/>
                <w:b/>
              </w:rPr>
            </w:pPr>
            <w:r w:rsidRPr="000A32A8">
              <w:rPr>
                <w:rFonts w:cstheme="minorHAnsi"/>
                <w:b/>
              </w:rPr>
              <w:t>Project Indicators to Ensure Compliance to Principle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Theme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Indicator</w:t>
            </w:r>
          </w:p>
        </w:tc>
        <w:tc>
          <w:tcPr>
            <w:tcW w:w="315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Reference</w:t>
            </w:r>
          </w:p>
        </w:tc>
        <w:tc>
          <w:tcPr>
            <w:tcW w:w="378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Requirement for Verification 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087868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t>Biodiversity and Ecosystem Services maintained and enhanced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087868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5.1.1 Biodiversity and ecosystem services</w:t>
            </w:r>
            <w:r w:rsidRPr="00087868">
              <w:rPr>
                <w:rFonts w:ascii="Arial" w:hAnsi="Arial" w:cs="Arial"/>
                <w:sz w:val="13"/>
                <w:szCs w:val="13"/>
              </w:rPr>
              <w:t xml:space="preserve">38 </w:t>
            </w:r>
            <w:r w:rsidRPr="00087868">
              <w:rPr>
                <w:rFonts w:ascii="Arial" w:hAnsi="Arial" w:cs="Arial"/>
                <w:sz w:val="21"/>
                <w:szCs w:val="21"/>
              </w:rPr>
              <w:t>potentially affected by the REDD+ program are identified, prioritized and mapped</w:t>
            </w:r>
            <w:r w:rsidRPr="00087868">
              <w:rPr>
                <w:rFonts w:ascii="Arial" w:hAnsi="Arial" w:cs="Arial"/>
                <w:sz w:val="13"/>
                <w:szCs w:val="13"/>
              </w:rPr>
              <w:t xml:space="preserve">39 </w:t>
            </w:r>
            <w:r w:rsidRPr="00087868">
              <w:rPr>
                <w:rFonts w:ascii="Arial" w:hAnsi="Arial" w:cs="Arial"/>
                <w:sz w:val="21"/>
                <w:szCs w:val="21"/>
              </w:rPr>
              <w:t>at a scale and level of detail appropriate to each element/activity within the program.</w:t>
            </w:r>
            <w:r w:rsidRPr="00087868">
              <w:rPr>
                <w:rFonts w:ascii="Arial" w:hAnsi="Arial" w:cs="Arial"/>
                <w:sz w:val="13"/>
                <w:szCs w:val="13"/>
              </w:rPr>
              <w:t>40</w:t>
            </w:r>
          </w:p>
          <w:p w:rsidR="00087868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5.1.2 The objectives of the REDD+ program include making a significant contribution to maintaining and enhancing biodiversity and ecosystem services.</w:t>
            </w:r>
          </w:p>
          <w:p w:rsidR="00087868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 xml:space="preserve">5.1.3 The REDD+ program identifies and implements </w:t>
            </w:r>
            <w:r w:rsidRPr="00087868">
              <w:rPr>
                <w:rFonts w:ascii="Arial" w:hAnsi="Arial" w:cs="Arial"/>
                <w:sz w:val="21"/>
                <w:szCs w:val="21"/>
              </w:rPr>
              <w:lastRenderedPageBreak/>
              <w:t>measures that aim to maintain and enhance the identified biodiversity and ecosystem service priorities potentially affected by the REDD+ program.</w:t>
            </w:r>
          </w:p>
          <w:p w:rsidR="00087868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5.1.4 The REDD+ program does not lead to the conversion of natural forests or other areas that important for maintaining and enhancing the identified biodiversity and ecosystem service priorities.</w:t>
            </w:r>
          </w:p>
          <w:p w:rsidR="00087868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5.1.5 The REDD+ program generates additional resources</w:t>
            </w:r>
            <w:r w:rsidRPr="00087868">
              <w:rPr>
                <w:rFonts w:ascii="Arial" w:hAnsi="Arial" w:cs="Arial"/>
                <w:sz w:val="13"/>
                <w:szCs w:val="13"/>
              </w:rPr>
              <w:t>41</w:t>
            </w:r>
          </w:p>
          <w:p w:rsidR="00EE488D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087868">
              <w:rPr>
                <w:rFonts w:ascii="Arial" w:hAnsi="Arial" w:cs="Arial"/>
                <w:sz w:val="21"/>
                <w:szCs w:val="21"/>
              </w:rPr>
              <w:t>to</w:t>
            </w:r>
            <w:proofErr w:type="gramEnd"/>
            <w:r w:rsidRPr="00087868">
              <w:rPr>
                <w:rFonts w:ascii="Arial" w:hAnsi="Arial" w:cs="Arial"/>
                <w:sz w:val="21"/>
                <w:szCs w:val="21"/>
              </w:rPr>
              <w:t xml:space="preserve"> maintain and enhance biodiversity and ecosystem services.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087868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Assessment of Impacts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087868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5.2.1 A monitoring plan and indicators are defined for measurement of the identified biodiversity and ecosystem service priorities potentially affected by the REDD+ program drawing from traditional knowledge and scientific research as appropriate.</w:t>
            </w:r>
          </w:p>
          <w:p w:rsidR="00EE488D" w:rsidRPr="00087868" w:rsidRDefault="00087868" w:rsidP="000878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5.2.2 There is an assessment of both predicted and actual environmental impacts of the REDD+ program</w:t>
            </w:r>
            <w:r w:rsidRPr="00087868">
              <w:rPr>
                <w:rFonts w:ascii="Arial" w:hAnsi="Arial" w:cs="Arial"/>
                <w:sz w:val="13"/>
                <w:szCs w:val="13"/>
              </w:rPr>
              <w:t>42</w:t>
            </w:r>
            <w:r w:rsidRPr="00087868">
              <w:rPr>
                <w:rFonts w:ascii="Arial" w:hAnsi="Arial" w:cs="Arial"/>
                <w:sz w:val="21"/>
                <w:szCs w:val="21"/>
              </w:rPr>
              <w:t>, involving Indigenous Peoples and local communities and other stakeholders as appropriate.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087868" w:rsidP="00D57FBF">
            <w:pPr>
              <w:rPr>
                <w:rFonts w:cstheme="minorHAnsi"/>
              </w:rPr>
            </w:pPr>
            <w:r>
              <w:rPr>
                <w:rFonts w:cstheme="minorHAnsi"/>
              </w:rPr>
              <w:t>Mitigation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087868" w:rsidRPr="00087868" w:rsidRDefault="00087868" w:rsidP="000878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1"/>
                <w:szCs w:val="21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5.3.1 Measures to identify and effectively mitigate potential negative environmental impacts are included in the design of the REDD+ program.</w:t>
            </w:r>
          </w:p>
          <w:p w:rsidR="00087868" w:rsidRPr="00087868" w:rsidRDefault="00087868" w:rsidP="000878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1"/>
                <w:szCs w:val="21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5.3.2 Feedback from monitoring is used to develop and implement measures to further mitigate potential and actual negative environmental impacts, during the implementation phase of the REDD+ program.</w:t>
            </w:r>
          </w:p>
          <w:p w:rsidR="00EE488D" w:rsidRPr="00087868" w:rsidRDefault="00087868" w:rsidP="000878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8"/>
              <w:rPr>
                <w:rFonts w:cstheme="minorHAnsi"/>
              </w:rPr>
            </w:pPr>
            <w:r w:rsidRPr="00087868">
              <w:rPr>
                <w:rFonts w:ascii="Arial" w:hAnsi="Arial" w:cs="Arial"/>
                <w:sz w:val="21"/>
                <w:szCs w:val="21"/>
              </w:rPr>
              <w:t>5.3.3 Feedback from monitoring results in measures to enhance environmental impacts.</w:t>
            </w:r>
          </w:p>
        </w:tc>
      </w:tr>
    </w:tbl>
    <w:p w:rsidR="00EE488D" w:rsidRDefault="00EE488D" w:rsidP="002448C2">
      <w:pPr>
        <w:rPr>
          <w:rFonts w:cstheme="minorHAnsi"/>
        </w:rPr>
      </w:pPr>
    </w:p>
    <w:p w:rsidR="00087868" w:rsidRDefault="00087868" w:rsidP="002448C2">
      <w:pPr>
        <w:rPr>
          <w:rFonts w:cstheme="minorHAnsi"/>
        </w:rPr>
      </w:pPr>
    </w:p>
    <w:p w:rsidR="00087868" w:rsidRPr="000A32A8" w:rsidRDefault="00087868" w:rsidP="002448C2">
      <w:pPr>
        <w:rPr>
          <w:rFonts w:cstheme="minorHAnsi"/>
        </w:rPr>
      </w:pPr>
    </w:p>
    <w:tbl>
      <w:tblPr>
        <w:tblStyle w:val="TableGrid"/>
        <w:tblW w:w="10620" w:type="dxa"/>
        <w:tblInd w:w="35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EE488D" w:rsidRPr="000A32A8" w:rsidTr="00EE488D">
        <w:tc>
          <w:tcPr>
            <w:tcW w:w="10620" w:type="dxa"/>
            <w:gridSpan w:val="5"/>
            <w:shd w:val="clear" w:color="auto" w:fill="000000" w:themeFill="text1"/>
          </w:tcPr>
          <w:p w:rsidR="00EE488D" w:rsidRPr="002B23F9" w:rsidRDefault="00EE488D" w:rsidP="00E567F3">
            <w:pPr>
              <w:tabs>
                <w:tab w:val="left" w:pos="3780"/>
              </w:tabs>
              <w:jc w:val="center"/>
              <w:rPr>
                <w:rFonts w:cstheme="minorHAnsi"/>
                <w:b/>
                <w:sz w:val="24"/>
              </w:rPr>
            </w:pPr>
            <w:r w:rsidRPr="002B23F9">
              <w:rPr>
                <w:rFonts w:cstheme="minorHAnsi"/>
                <w:b/>
                <w:sz w:val="24"/>
              </w:rPr>
              <w:lastRenderedPageBreak/>
              <w:t>Principle 6: All relevant rights holders and stakeholders participate fully and effectively in the</w:t>
            </w:r>
          </w:p>
          <w:p w:rsidR="00EE488D" w:rsidRPr="000A32A8" w:rsidRDefault="00EE488D" w:rsidP="00E567F3">
            <w:pPr>
              <w:tabs>
                <w:tab w:val="left" w:pos="3780"/>
              </w:tabs>
              <w:jc w:val="center"/>
              <w:rPr>
                <w:rFonts w:cstheme="minorHAnsi"/>
                <w:b/>
              </w:rPr>
            </w:pPr>
            <w:r w:rsidRPr="002B23F9">
              <w:rPr>
                <w:rFonts w:cstheme="minorHAnsi"/>
                <w:b/>
                <w:sz w:val="24"/>
              </w:rPr>
              <w:t>REDD+ program.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6.1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 REDD+ program identifies and characterizes the rights and interests of all rights holder and stakeholder groups and their relevance to the REDD+ program.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6.2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087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All relevant rights holder and stakeholder groups that want to be involved in REDD+ program design, implementation and evaluation are fully involved </w:t>
            </w:r>
            <w:r w:rsidR="00087868">
              <w:rPr>
                <w:rFonts w:ascii="Arial" w:hAnsi="Arial" w:cs="Arial"/>
                <w:sz w:val="21"/>
                <w:szCs w:val="21"/>
              </w:rPr>
              <w:t>through culturally appropriate and effective participation</w:t>
            </w:r>
            <w:proofErr w:type="gramStart"/>
            <w:r w:rsidR="00087868">
              <w:rPr>
                <w:rFonts w:ascii="Arial" w:hAnsi="Arial" w:cs="Arial"/>
                <w:sz w:val="21"/>
                <w:szCs w:val="21"/>
              </w:rPr>
              <w:t>.</w:t>
            </w:r>
            <w:r w:rsidRPr="000A32A8">
              <w:rPr>
                <w:rFonts w:cstheme="minorHAnsi"/>
              </w:rPr>
              <w:t>.</w:t>
            </w:r>
            <w:proofErr w:type="gramEnd"/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6.3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087868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The relevant rights holder and stakeholder groups determine, in a verifiable manner, the process by which they will </w:t>
            </w:r>
            <w:r w:rsidR="00087868">
              <w:rPr>
                <w:rFonts w:cstheme="minorHAnsi"/>
              </w:rPr>
              <w:t>participate</w:t>
            </w:r>
            <w:r w:rsidRPr="000A32A8">
              <w:rPr>
                <w:rFonts w:cstheme="minorHAnsi"/>
              </w:rPr>
              <w:t xml:space="preserve"> and </w:t>
            </w:r>
            <w:r w:rsidR="009F1567">
              <w:rPr>
                <w:rFonts w:cstheme="minorHAnsi"/>
              </w:rPr>
              <w:t xml:space="preserve">be </w:t>
            </w:r>
            <w:r w:rsidRPr="000A32A8">
              <w:rPr>
                <w:rFonts w:cstheme="minorHAnsi"/>
              </w:rPr>
              <w:t>represented in relation to the REDD+ program, taking account of statutory and customary institutions.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9F1567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6.</w:t>
            </w:r>
            <w:r w:rsidR="009F1567">
              <w:rPr>
                <w:rFonts w:cstheme="minorHAnsi"/>
              </w:rPr>
              <w:t>4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 relevant rights holders and stakeholder groups have a good understanding of the key issues related to the REDD+ program and the capacity to participate effectively.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9F1567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6.</w:t>
            </w:r>
            <w:r w:rsidR="009F1567">
              <w:rPr>
                <w:rFonts w:cstheme="minorHAnsi"/>
              </w:rPr>
              <w:t>5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Design, implementation and evaluation of the REDD+ program builds on and supports rights holders and stakeholders’ </w:t>
            </w:r>
            <w:r w:rsidR="009F1567">
              <w:rPr>
                <w:rFonts w:cstheme="minorHAnsi"/>
              </w:rPr>
              <w:t xml:space="preserve">traditional and other </w:t>
            </w:r>
            <w:r w:rsidRPr="000A32A8">
              <w:rPr>
                <w:rFonts w:cstheme="minorHAnsi"/>
              </w:rPr>
              <w:t>knowledge, skills and management systems including those of Indigenous Peoples and local communities.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9F1567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6.</w:t>
            </w:r>
            <w:r w:rsidR="009F1567">
              <w:rPr>
                <w:rFonts w:cstheme="minorHAnsi"/>
              </w:rPr>
              <w:t>6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Mechanisms are in place to receive and resolve grievances and disputes relating to the design, implementation and evaluation of the REDD+ program.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6.8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Rights holders and stakeholders have access to legal advice and understand relevant legal processes, and legal and financial implications related to the REDD+ program.</w:t>
            </w:r>
          </w:p>
        </w:tc>
      </w:tr>
      <w:tr w:rsidR="00EE488D" w:rsidRPr="000A32A8" w:rsidTr="00EE488D">
        <w:tc>
          <w:tcPr>
            <w:tcW w:w="10620" w:type="dxa"/>
            <w:gridSpan w:val="5"/>
          </w:tcPr>
          <w:p w:rsidR="00EE488D" w:rsidRPr="000A32A8" w:rsidRDefault="00EE488D" w:rsidP="00D57FBF">
            <w:pPr>
              <w:jc w:val="center"/>
              <w:rPr>
                <w:rFonts w:cstheme="minorHAnsi"/>
                <w:b/>
              </w:rPr>
            </w:pPr>
            <w:r w:rsidRPr="000A32A8">
              <w:rPr>
                <w:rFonts w:cstheme="minorHAnsi"/>
                <w:b/>
              </w:rPr>
              <w:t>Project Indicators to Ensure Compliance to Principle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Theme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Indicator</w:t>
            </w:r>
          </w:p>
        </w:tc>
        <w:tc>
          <w:tcPr>
            <w:tcW w:w="315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Reference</w:t>
            </w:r>
          </w:p>
        </w:tc>
        <w:tc>
          <w:tcPr>
            <w:tcW w:w="378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Requirement for Verification 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</w:tbl>
    <w:p w:rsidR="00EE488D" w:rsidRPr="000A32A8" w:rsidRDefault="00EE488D" w:rsidP="002448C2">
      <w:pPr>
        <w:rPr>
          <w:rFonts w:cstheme="minorHAnsi"/>
        </w:rPr>
      </w:pPr>
    </w:p>
    <w:tbl>
      <w:tblPr>
        <w:tblStyle w:val="TableGrid"/>
        <w:tblW w:w="10620" w:type="dxa"/>
        <w:tblInd w:w="35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EE488D" w:rsidRPr="000A32A8" w:rsidTr="00EE488D">
        <w:tc>
          <w:tcPr>
            <w:tcW w:w="10620" w:type="dxa"/>
            <w:gridSpan w:val="5"/>
            <w:shd w:val="clear" w:color="auto" w:fill="000000" w:themeFill="text1"/>
          </w:tcPr>
          <w:p w:rsidR="00EE488D" w:rsidRPr="000A32A8" w:rsidRDefault="00EE488D" w:rsidP="00E567F3">
            <w:pPr>
              <w:tabs>
                <w:tab w:val="left" w:pos="3780"/>
              </w:tabs>
              <w:jc w:val="center"/>
              <w:rPr>
                <w:rFonts w:cstheme="minorHAnsi"/>
                <w:b/>
              </w:rPr>
            </w:pPr>
            <w:r w:rsidRPr="002B23F9">
              <w:rPr>
                <w:rFonts w:cstheme="minorHAnsi"/>
                <w:b/>
                <w:sz w:val="24"/>
              </w:rPr>
              <w:t xml:space="preserve">Principle 7: All rights holders and stakeholders have timely access to appropriate and accurate </w:t>
            </w:r>
            <w:r w:rsidR="002B23F9">
              <w:rPr>
                <w:rFonts w:cstheme="minorHAnsi"/>
                <w:b/>
                <w:sz w:val="24"/>
              </w:rPr>
              <w:t>information to enable informed d</w:t>
            </w:r>
            <w:r w:rsidRPr="002B23F9">
              <w:rPr>
                <w:rFonts w:cstheme="minorHAnsi"/>
                <w:b/>
                <w:sz w:val="24"/>
              </w:rPr>
              <w:t>ecision-making and good governance of the REDD+ program.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7.1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Adequate information about the REDD+ program is publicly available to promote general awareness and good governance.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7.2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BB5BB3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Rights holders and stakeholders have the information that they need about the REDD+ program, provided in a</w:t>
            </w:r>
            <w:r w:rsidR="00BB5BB3">
              <w:rPr>
                <w:rFonts w:cstheme="minorHAnsi"/>
              </w:rPr>
              <w:t xml:space="preserve"> culturally </w:t>
            </w:r>
            <w:r w:rsidRPr="000A32A8">
              <w:rPr>
                <w:rFonts w:cstheme="minorHAnsi"/>
              </w:rPr>
              <w:t xml:space="preserve">appropriate and timely way, to participate fully and effectively in program design, implementation and evaluation, including information about potential social, cultural, economic and </w:t>
            </w:r>
            <w:r w:rsidR="00BB5BB3">
              <w:rPr>
                <w:rFonts w:cstheme="minorHAnsi"/>
              </w:rPr>
              <w:t>environmental</w:t>
            </w:r>
            <w:r w:rsidRPr="000A32A8">
              <w:rPr>
                <w:rFonts w:cstheme="minorHAnsi"/>
              </w:rPr>
              <w:t xml:space="preserve"> risks and opportunities, legal implications, and the global and national context.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7.3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Rights holder and stakeholder group representatives collect and disseminate all relevant information about the REDD+ program from and to the people they represent in an appropriate and timely way.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7.4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Information is available and disseminated about the REDD+ program in time to enable rights holder and stakeholder feedback to their representatives and respecting the time needed for inclusive decision making.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7.5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 REDD+ program makes sufficient resources available to provide and collect information in a timely and appropriate manner.</w:t>
            </w:r>
          </w:p>
        </w:tc>
      </w:tr>
      <w:tr w:rsidR="00EE488D" w:rsidRPr="000A32A8" w:rsidTr="00EE488D">
        <w:tc>
          <w:tcPr>
            <w:tcW w:w="10620" w:type="dxa"/>
            <w:gridSpan w:val="5"/>
          </w:tcPr>
          <w:p w:rsidR="00EE488D" w:rsidRPr="000A32A8" w:rsidRDefault="00EE488D" w:rsidP="00D57FBF">
            <w:pPr>
              <w:jc w:val="center"/>
              <w:rPr>
                <w:rFonts w:cstheme="minorHAnsi"/>
                <w:b/>
              </w:rPr>
            </w:pPr>
            <w:r w:rsidRPr="000A32A8">
              <w:rPr>
                <w:rFonts w:cstheme="minorHAnsi"/>
                <w:b/>
              </w:rPr>
              <w:t>Project Indicators to Ensure Compliance to Principle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Theme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Indicator</w:t>
            </w:r>
          </w:p>
        </w:tc>
        <w:tc>
          <w:tcPr>
            <w:tcW w:w="315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Reference</w:t>
            </w:r>
          </w:p>
        </w:tc>
        <w:tc>
          <w:tcPr>
            <w:tcW w:w="378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Requirement for Verification 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</w:tbl>
    <w:p w:rsidR="00BB5BB3" w:rsidRDefault="00BB5BB3"/>
    <w:p w:rsidR="00BB5BB3" w:rsidRDefault="00BB5BB3"/>
    <w:tbl>
      <w:tblPr>
        <w:tblStyle w:val="TableGrid"/>
        <w:tblW w:w="10620" w:type="dxa"/>
        <w:tblInd w:w="35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EE488D" w:rsidRPr="000A32A8" w:rsidTr="00EE488D">
        <w:tc>
          <w:tcPr>
            <w:tcW w:w="10620" w:type="dxa"/>
            <w:gridSpan w:val="5"/>
            <w:shd w:val="clear" w:color="auto" w:fill="000000" w:themeFill="text1"/>
          </w:tcPr>
          <w:p w:rsidR="00EE488D" w:rsidRPr="000A32A8" w:rsidRDefault="00EE488D" w:rsidP="00E567F3">
            <w:pPr>
              <w:tabs>
                <w:tab w:val="left" w:pos="3780"/>
              </w:tabs>
              <w:jc w:val="center"/>
              <w:rPr>
                <w:rFonts w:cstheme="minorHAnsi"/>
                <w:b/>
              </w:rPr>
            </w:pPr>
            <w:r w:rsidRPr="002B23F9">
              <w:rPr>
                <w:rFonts w:cstheme="minorHAnsi"/>
                <w:b/>
                <w:sz w:val="24"/>
              </w:rPr>
              <w:lastRenderedPageBreak/>
              <w:t>Principle 8: The REDD+ program complies with applicable local and national laws and international treaties, conventions and agreements.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8.1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The REDD+ program complies with local law, national law and international treaties, conventions and agreements ratified or adopted by the country.</w:t>
            </w:r>
          </w:p>
        </w:tc>
      </w:tr>
      <w:tr w:rsidR="00EE488D" w:rsidRPr="000A32A8" w:rsidTr="00DC795A">
        <w:trPr>
          <w:trHeight w:val="215"/>
        </w:trPr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8.2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Where local or national law is not consistent with the standards, a review process should be undertaken that results in a plan to resolve the inconsistencies.</w:t>
            </w:r>
          </w:p>
        </w:tc>
      </w:tr>
      <w:tr w:rsidR="00EE488D" w:rsidRPr="000A32A8" w:rsidTr="00EE488D">
        <w:tc>
          <w:tcPr>
            <w:tcW w:w="54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8.3</w:t>
            </w:r>
          </w:p>
        </w:tc>
        <w:tc>
          <w:tcPr>
            <w:tcW w:w="10080" w:type="dxa"/>
            <w:gridSpan w:val="4"/>
            <w:vAlign w:val="center"/>
          </w:tcPr>
          <w:p w:rsidR="00EE488D" w:rsidRPr="000A32A8" w:rsidRDefault="00EE488D" w:rsidP="00D57FBF">
            <w:pPr>
              <w:rPr>
                <w:rFonts w:cstheme="minorHAnsi"/>
              </w:rPr>
            </w:pPr>
            <w:r w:rsidRPr="000A32A8">
              <w:rPr>
                <w:rFonts w:cstheme="minorHAnsi"/>
              </w:rPr>
              <w:t>Relevant rights holders and stakeholders have the capacity to understand, implement and monitor legal requirements related to the REDD+ program.</w:t>
            </w:r>
          </w:p>
        </w:tc>
      </w:tr>
      <w:tr w:rsidR="00EE488D" w:rsidRPr="000A32A8" w:rsidTr="00EE488D">
        <w:tc>
          <w:tcPr>
            <w:tcW w:w="10620" w:type="dxa"/>
            <w:gridSpan w:val="5"/>
          </w:tcPr>
          <w:p w:rsidR="00EE488D" w:rsidRPr="000A32A8" w:rsidRDefault="00EE488D" w:rsidP="00D57FBF">
            <w:pPr>
              <w:jc w:val="center"/>
              <w:rPr>
                <w:rFonts w:cstheme="minorHAnsi"/>
                <w:b/>
              </w:rPr>
            </w:pPr>
            <w:r w:rsidRPr="000A32A8">
              <w:rPr>
                <w:rFonts w:cstheme="minorHAnsi"/>
                <w:b/>
              </w:rPr>
              <w:t>Project Indicators to Ensure Compliance to Principle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Theme</w:t>
            </w:r>
          </w:p>
        </w:tc>
        <w:tc>
          <w:tcPr>
            <w:tcW w:w="216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Indicator</w:t>
            </w:r>
          </w:p>
        </w:tc>
        <w:tc>
          <w:tcPr>
            <w:tcW w:w="315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>Reference</w:t>
            </w:r>
          </w:p>
        </w:tc>
        <w:tc>
          <w:tcPr>
            <w:tcW w:w="3780" w:type="dxa"/>
          </w:tcPr>
          <w:p w:rsidR="00EE488D" w:rsidRPr="000A32A8" w:rsidRDefault="00EE488D" w:rsidP="00D57FBF">
            <w:pPr>
              <w:jc w:val="center"/>
              <w:rPr>
                <w:rFonts w:cstheme="minorHAnsi"/>
              </w:rPr>
            </w:pPr>
            <w:r w:rsidRPr="000A32A8">
              <w:rPr>
                <w:rFonts w:cstheme="minorHAnsi"/>
              </w:rPr>
              <w:t xml:space="preserve">Requirement for Verification </w:t>
            </w: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  <w:tr w:rsidR="00EE488D" w:rsidRPr="000A32A8" w:rsidTr="00EE488D">
        <w:tc>
          <w:tcPr>
            <w:tcW w:w="1530" w:type="dxa"/>
            <w:gridSpan w:val="2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EE488D" w:rsidRPr="000A32A8" w:rsidRDefault="00EE488D" w:rsidP="00D57FBF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EE488D" w:rsidRPr="000A32A8" w:rsidRDefault="00EE488D" w:rsidP="00D57F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E488D" w:rsidRPr="000A32A8" w:rsidRDefault="00EE488D" w:rsidP="00D57F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</w:rPr>
            </w:pPr>
          </w:p>
        </w:tc>
      </w:tr>
    </w:tbl>
    <w:p w:rsidR="00EE488D" w:rsidRPr="000A32A8" w:rsidRDefault="00EE488D" w:rsidP="00E567F3">
      <w:pPr>
        <w:rPr>
          <w:rFonts w:cstheme="minorHAnsi"/>
        </w:rPr>
      </w:pPr>
    </w:p>
    <w:sectPr w:rsidR="00EE488D" w:rsidRPr="000A32A8" w:rsidSect="00DC795A">
      <w:headerReference w:type="default" r:id="rId7"/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16" w:rsidRDefault="00293416" w:rsidP="00A57CF0">
      <w:pPr>
        <w:spacing w:after="0" w:line="240" w:lineRule="auto"/>
      </w:pPr>
      <w:r>
        <w:separator/>
      </w:r>
    </w:p>
  </w:endnote>
  <w:endnote w:type="continuationSeparator" w:id="0">
    <w:p w:rsidR="00293416" w:rsidRDefault="00293416" w:rsidP="00A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66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C795A" w:rsidRDefault="00DC795A">
            <w:pPr>
              <w:pStyle w:val="Footer"/>
              <w:jc w:val="center"/>
            </w:pPr>
            <w:r>
              <w:t xml:space="preserve">Page </w:t>
            </w:r>
            <w:r w:rsidR="004566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6681">
              <w:rPr>
                <w:b/>
                <w:sz w:val="24"/>
                <w:szCs w:val="24"/>
              </w:rPr>
              <w:fldChar w:fldCharType="separate"/>
            </w:r>
            <w:r w:rsidR="00173DFF">
              <w:rPr>
                <w:b/>
                <w:noProof/>
              </w:rPr>
              <w:t>4</w:t>
            </w:r>
            <w:r w:rsidR="0045668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66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6681">
              <w:rPr>
                <w:b/>
                <w:sz w:val="24"/>
                <w:szCs w:val="24"/>
              </w:rPr>
              <w:fldChar w:fldCharType="separate"/>
            </w:r>
            <w:r w:rsidR="00173DFF">
              <w:rPr>
                <w:b/>
                <w:noProof/>
              </w:rPr>
              <w:t>5</w:t>
            </w:r>
            <w:r w:rsidR="004566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7CF0" w:rsidRDefault="003A1BB4" w:rsidP="00DC795A">
    <w:pPr>
      <w:pStyle w:val="Footer"/>
      <w:ind w:left="270"/>
    </w:pPr>
    <w:r>
      <w:t>1/</w:t>
    </w:r>
    <w:r w:rsidR="002B55AB">
      <w:t>17/</w:t>
    </w: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16" w:rsidRDefault="00293416" w:rsidP="00A57CF0">
      <w:pPr>
        <w:spacing w:after="0" w:line="240" w:lineRule="auto"/>
      </w:pPr>
      <w:r>
        <w:separator/>
      </w:r>
    </w:p>
  </w:footnote>
  <w:footnote w:type="continuationSeparator" w:id="0">
    <w:p w:rsidR="00293416" w:rsidRDefault="00293416" w:rsidP="00A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0" w:rsidRDefault="003A1BB4" w:rsidP="00DC795A">
    <w:pPr>
      <w:pStyle w:val="Header"/>
      <w:ind w:left="180"/>
      <w:rPr>
        <w:b/>
        <w:sz w:val="26"/>
        <w:szCs w:val="26"/>
      </w:rPr>
    </w:pPr>
    <w:r>
      <w:rPr>
        <w:b/>
        <w:sz w:val="26"/>
        <w:szCs w:val="26"/>
      </w:rPr>
      <w:t>Environmental</w:t>
    </w:r>
    <w:r w:rsidR="00A57CF0" w:rsidRPr="00A57CF0">
      <w:rPr>
        <w:b/>
        <w:sz w:val="26"/>
        <w:szCs w:val="26"/>
      </w:rPr>
      <w:t xml:space="preserve"> Safeguards Summarized from REDD + Program</w:t>
    </w:r>
    <w:r w:rsidR="00041B52">
      <w:rPr>
        <w:b/>
        <w:sz w:val="26"/>
        <w:szCs w:val="26"/>
      </w:rPr>
      <w:t>, June 2010</w:t>
    </w:r>
  </w:p>
  <w:p w:rsidR="00A57CF0" w:rsidRPr="00A57CF0" w:rsidRDefault="00A57CF0">
    <w:pPr>
      <w:pStyle w:val="Header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98"/>
    <w:multiLevelType w:val="hybridMultilevel"/>
    <w:tmpl w:val="F734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77D6"/>
    <w:multiLevelType w:val="hybridMultilevel"/>
    <w:tmpl w:val="9F589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57927"/>
    <w:multiLevelType w:val="hybridMultilevel"/>
    <w:tmpl w:val="3CE2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3FB"/>
    <w:multiLevelType w:val="hybridMultilevel"/>
    <w:tmpl w:val="8CA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33AB5"/>
    <w:multiLevelType w:val="hybridMultilevel"/>
    <w:tmpl w:val="E124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FB6"/>
    <w:rsid w:val="000173FB"/>
    <w:rsid w:val="00025A39"/>
    <w:rsid w:val="00041B52"/>
    <w:rsid w:val="00061740"/>
    <w:rsid w:val="00080485"/>
    <w:rsid w:val="00087868"/>
    <w:rsid w:val="00094FE5"/>
    <w:rsid w:val="000A32A8"/>
    <w:rsid w:val="000D59DD"/>
    <w:rsid w:val="00126ECF"/>
    <w:rsid w:val="00173DFF"/>
    <w:rsid w:val="001F3C89"/>
    <w:rsid w:val="0021153F"/>
    <w:rsid w:val="002448C2"/>
    <w:rsid w:val="00293416"/>
    <w:rsid w:val="002B23F9"/>
    <w:rsid w:val="002B55AB"/>
    <w:rsid w:val="002F3170"/>
    <w:rsid w:val="003123B2"/>
    <w:rsid w:val="00312AD2"/>
    <w:rsid w:val="00321E32"/>
    <w:rsid w:val="003A1BB4"/>
    <w:rsid w:val="00437971"/>
    <w:rsid w:val="00445D5E"/>
    <w:rsid w:val="00456681"/>
    <w:rsid w:val="004A670D"/>
    <w:rsid w:val="004D743F"/>
    <w:rsid w:val="004E2B7A"/>
    <w:rsid w:val="00504726"/>
    <w:rsid w:val="005366A6"/>
    <w:rsid w:val="00576E96"/>
    <w:rsid w:val="005A3A31"/>
    <w:rsid w:val="005B1FA9"/>
    <w:rsid w:val="0067330B"/>
    <w:rsid w:val="006779BC"/>
    <w:rsid w:val="006C1F82"/>
    <w:rsid w:val="006D2C8D"/>
    <w:rsid w:val="006E5B1B"/>
    <w:rsid w:val="007046DB"/>
    <w:rsid w:val="00735C64"/>
    <w:rsid w:val="007534A8"/>
    <w:rsid w:val="00786520"/>
    <w:rsid w:val="007A27B2"/>
    <w:rsid w:val="007B3DFB"/>
    <w:rsid w:val="007F5FB6"/>
    <w:rsid w:val="00891FE9"/>
    <w:rsid w:val="00904BC8"/>
    <w:rsid w:val="0097454D"/>
    <w:rsid w:val="00997F41"/>
    <w:rsid w:val="009E502C"/>
    <w:rsid w:val="009F1567"/>
    <w:rsid w:val="00A568C4"/>
    <w:rsid w:val="00A57CF0"/>
    <w:rsid w:val="00A66544"/>
    <w:rsid w:val="00A76B18"/>
    <w:rsid w:val="00AA4FA8"/>
    <w:rsid w:val="00AF07F9"/>
    <w:rsid w:val="00B157CF"/>
    <w:rsid w:val="00B1662D"/>
    <w:rsid w:val="00B4495E"/>
    <w:rsid w:val="00B75B08"/>
    <w:rsid w:val="00BA54CB"/>
    <w:rsid w:val="00BB5BB3"/>
    <w:rsid w:val="00C73FC7"/>
    <w:rsid w:val="00CB68D3"/>
    <w:rsid w:val="00CE4D41"/>
    <w:rsid w:val="00DC795A"/>
    <w:rsid w:val="00E07326"/>
    <w:rsid w:val="00E567F3"/>
    <w:rsid w:val="00EA7B7F"/>
    <w:rsid w:val="00EE488D"/>
    <w:rsid w:val="00EF56EF"/>
    <w:rsid w:val="00EF5ED5"/>
    <w:rsid w:val="00F0620E"/>
    <w:rsid w:val="00F62F13"/>
    <w:rsid w:val="00F6744B"/>
    <w:rsid w:val="00F840C1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CF0"/>
  </w:style>
  <w:style w:type="paragraph" w:styleId="Footer">
    <w:name w:val="footer"/>
    <w:basedOn w:val="Normal"/>
    <w:link w:val="FooterChar"/>
    <w:uiPriority w:val="99"/>
    <w:unhideWhenUsed/>
    <w:rsid w:val="00A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tkidman</dc:creator>
  <cp:lastModifiedBy>Nancy Budge</cp:lastModifiedBy>
  <cp:revision>11</cp:revision>
  <cp:lastPrinted>2011-01-17T16:37:00Z</cp:lastPrinted>
  <dcterms:created xsi:type="dcterms:W3CDTF">2011-01-17T05:56:00Z</dcterms:created>
  <dcterms:modified xsi:type="dcterms:W3CDTF">2011-01-17T17:23:00Z</dcterms:modified>
</cp:coreProperties>
</file>