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8D" w:rsidRPr="00E80DC4" w:rsidRDefault="000D6F8D" w:rsidP="007062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80DC4">
        <w:t xml:space="preserve">Note:  </w:t>
      </w:r>
      <w:r w:rsidRPr="00E80DC4">
        <w:rPr>
          <w:rFonts w:ascii="GillSansMT" w:hAnsi="GillSansMT" w:cs="GillSansMT"/>
          <w:sz w:val="20"/>
          <w:szCs w:val="20"/>
        </w:rPr>
        <w:t>Indicators are specifications to the Criteria, containing elements that verify conformance with the Criteria.</w:t>
      </w:r>
      <w:r>
        <w:rPr>
          <w:rFonts w:ascii="GillSansMT" w:hAnsi="GillSansMT" w:cs="GillSansMT"/>
          <w:sz w:val="20"/>
          <w:szCs w:val="20"/>
        </w:rPr>
        <w:t xml:space="preserve">  </w:t>
      </w:r>
      <w:r w:rsidRPr="00E80DC4">
        <w:rPr>
          <w:rFonts w:ascii="GillSansMT" w:hAnsi="GillSansMT" w:cs="GillSansMT"/>
          <w:sz w:val="20"/>
          <w:szCs w:val="20"/>
        </w:rPr>
        <w:t xml:space="preserve">Normally, they are specific to a certain situation or region. </w:t>
      </w:r>
      <w:r>
        <w:rPr>
          <w:rFonts w:ascii="GillSansMT" w:hAnsi="GillSansMT" w:cs="GillSansMT"/>
          <w:sz w:val="20"/>
          <w:szCs w:val="20"/>
        </w:rPr>
        <w:t xml:space="preserve"> </w:t>
      </w:r>
      <w:r w:rsidRPr="00E80DC4">
        <w:rPr>
          <w:rFonts w:ascii="GillSansMT" w:hAnsi="GillSansMT" w:cs="GillSansMT"/>
          <w:sz w:val="20"/>
          <w:szCs w:val="20"/>
        </w:rPr>
        <w:t xml:space="preserve">This version of the standard purposefully does not include indicators, because: </w:t>
      </w:r>
      <w:proofErr w:type="spellStart"/>
      <w:r w:rsidRPr="00E80DC4">
        <w:rPr>
          <w:rFonts w:ascii="GillSansMT" w:hAnsi="GillSansMT" w:cs="GillSansMT"/>
          <w:sz w:val="20"/>
          <w:szCs w:val="20"/>
        </w:rPr>
        <w:t>i</w:t>
      </w:r>
      <w:proofErr w:type="spellEnd"/>
      <w:r w:rsidRPr="00E80DC4">
        <w:rPr>
          <w:rFonts w:ascii="GillSansMT" w:hAnsi="GillSansMT" w:cs="GillSansMT"/>
          <w:sz w:val="20"/>
          <w:szCs w:val="20"/>
        </w:rPr>
        <w:t>) their scope is very generic, including various stakeholders, scales and regions; ii) this document is not expected to be used in the field by itself, (not used with another standard/norm), to evaluate REDD+ projects or programs.</w:t>
      </w:r>
    </w:p>
    <w:p w:rsidR="000D6F8D" w:rsidRDefault="000D6F8D" w:rsidP="000D6F8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818385"/>
          <w:sz w:val="20"/>
          <w:szCs w:val="20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1003"/>
        <w:gridCol w:w="937"/>
        <w:gridCol w:w="2087"/>
        <w:gridCol w:w="3012"/>
        <w:gridCol w:w="3581"/>
      </w:tblGrid>
      <w:tr w:rsidR="007F5FB6" w:rsidTr="00576E96">
        <w:tc>
          <w:tcPr>
            <w:tcW w:w="10620" w:type="dxa"/>
            <w:gridSpan w:val="5"/>
            <w:shd w:val="clear" w:color="auto" w:fill="000000" w:themeFill="text1"/>
          </w:tcPr>
          <w:p w:rsidR="007F5FB6" w:rsidRPr="007F5FB6" w:rsidRDefault="00FB4F07" w:rsidP="00B17D3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Principle 1</w:t>
            </w:r>
            <w:r w:rsidRPr="00576E96">
              <w:rPr>
                <w:b/>
                <w:sz w:val="24"/>
              </w:rPr>
              <w:t xml:space="preserve"> – </w:t>
            </w:r>
            <w:r>
              <w:rPr>
                <w:rFonts w:ascii="GillSansMT-Bold" w:hAnsi="GillSansMT-Bold" w:cs="GillSansMT-Bold"/>
                <w:b/>
                <w:bCs/>
              </w:rPr>
              <w:t>LEGAL COMPLIANCE: conformance to legal requirements and relevant international agreements.</w:t>
            </w:r>
          </w:p>
        </w:tc>
      </w:tr>
      <w:tr w:rsidR="007F5FB6" w:rsidTr="00AA4577">
        <w:tc>
          <w:tcPr>
            <w:tcW w:w="1003" w:type="dxa"/>
          </w:tcPr>
          <w:p w:rsidR="007F5FB6" w:rsidRDefault="005368AD" w:rsidP="0049241F">
            <w:r>
              <w:t>Criterion 1.</w:t>
            </w:r>
            <w:r w:rsidR="0049241F">
              <w:t>2</w:t>
            </w:r>
          </w:p>
        </w:tc>
        <w:tc>
          <w:tcPr>
            <w:tcW w:w="9617" w:type="dxa"/>
            <w:gridSpan w:val="4"/>
          </w:tcPr>
          <w:p w:rsidR="007F5FB6" w:rsidRDefault="0049241F" w:rsidP="00E076B1">
            <w:pPr>
              <w:autoSpaceDE w:val="0"/>
              <w:autoSpaceDN w:val="0"/>
              <w:adjustRightInd w:val="0"/>
            </w:pPr>
            <w:r w:rsidRPr="0049241F">
              <w:t>REDD+ actions shall respect the Brazilian environmental legislation.</w:t>
            </w:r>
          </w:p>
        </w:tc>
      </w:tr>
      <w:tr w:rsidR="007F5FB6" w:rsidTr="00AA4577">
        <w:tc>
          <w:tcPr>
            <w:tcW w:w="1003" w:type="dxa"/>
          </w:tcPr>
          <w:p w:rsidR="007F5FB6" w:rsidRDefault="003D0034">
            <w:r>
              <w:t>Criterion 1.</w:t>
            </w:r>
            <w:r w:rsidR="007F5FB6">
              <w:t>3</w:t>
            </w:r>
          </w:p>
        </w:tc>
        <w:tc>
          <w:tcPr>
            <w:tcW w:w="9617" w:type="dxa"/>
            <w:gridSpan w:val="4"/>
          </w:tcPr>
          <w:p w:rsidR="007F5FB6" w:rsidRDefault="000D6F8D" w:rsidP="00E076B1">
            <w:pPr>
              <w:autoSpaceDE w:val="0"/>
              <w:autoSpaceDN w:val="0"/>
              <w:adjustRightInd w:val="0"/>
            </w:pPr>
            <w:r w:rsidRPr="00E80DC4">
              <w:t>REDD+ actions shall respect all international social, environmental, cultural, labor and commercial agreements ratified by Brazil.</w:t>
            </w:r>
          </w:p>
        </w:tc>
      </w:tr>
      <w:tr w:rsidR="007F5FB6" w:rsidTr="007F5FB6">
        <w:tc>
          <w:tcPr>
            <w:tcW w:w="10620" w:type="dxa"/>
            <w:gridSpan w:val="5"/>
          </w:tcPr>
          <w:p w:rsidR="007F5FB6" w:rsidRPr="007F5FB6" w:rsidRDefault="007F5FB6" w:rsidP="007F5FB6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910DAD" w:rsidTr="00AA4577">
        <w:tc>
          <w:tcPr>
            <w:tcW w:w="1940" w:type="dxa"/>
            <w:gridSpan w:val="2"/>
          </w:tcPr>
          <w:p w:rsidR="007F5FB6" w:rsidRDefault="007F5FB6" w:rsidP="005366A6">
            <w:pPr>
              <w:jc w:val="center"/>
            </w:pPr>
            <w:r>
              <w:t>Theme</w:t>
            </w:r>
          </w:p>
        </w:tc>
        <w:tc>
          <w:tcPr>
            <w:tcW w:w="2087" w:type="dxa"/>
          </w:tcPr>
          <w:p w:rsidR="007F5FB6" w:rsidRDefault="007F5FB6" w:rsidP="005366A6">
            <w:pPr>
              <w:jc w:val="center"/>
            </w:pPr>
            <w:r>
              <w:t>Indicator</w:t>
            </w:r>
          </w:p>
        </w:tc>
        <w:tc>
          <w:tcPr>
            <w:tcW w:w="3012" w:type="dxa"/>
          </w:tcPr>
          <w:p w:rsidR="007F5FB6" w:rsidRDefault="007F5FB6" w:rsidP="005366A6">
            <w:pPr>
              <w:jc w:val="center"/>
            </w:pPr>
            <w:r>
              <w:t>Reference</w:t>
            </w:r>
          </w:p>
        </w:tc>
        <w:tc>
          <w:tcPr>
            <w:tcW w:w="3581" w:type="dxa"/>
          </w:tcPr>
          <w:p w:rsidR="007F5FB6" w:rsidRDefault="007F5FB6" w:rsidP="005366A6">
            <w:pPr>
              <w:jc w:val="center"/>
            </w:pPr>
            <w:r>
              <w:t xml:space="preserve">Requirement for Verification </w:t>
            </w:r>
          </w:p>
        </w:tc>
      </w:tr>
      <w:tr w:rsidR="00910DAD" w:rsidTr="00AA4577">
        <w:tc>
          <w:tcPr>
            <w:tcW w:w="1940" w:type="dxa"/>
            <w:gridSpan w:val="2"/>
          </w:tcPr>
          <w:p w:rsidR="007F5FB6" w:rsidRDefault="007F5FB6" w:rsidP="005A3A31"/>
        </w:tc>
        <w:tc>
          <w:tcPr>
            <w:tcW w:w="2087" w:type="dxa"/>
          </w:tcPr>
          <w:p w:rsidR="007F5FB6" w:rsidRDefault="007F5FB6" w:rsidP="004D743F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</w:tcPr>
          <w:p w:rsidR="00083069" w:rsidRDefault="00083069" w:rsidP="000830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0" w:hanging="260"/>
            </w:pPr>
          </w:p>
        </w:tc>
        <w:tc>
          <w:tcPr>
            <w:tcW w:w="3581" w:type="dxa"/>
          </w:tcPr>
          <w:p w:rsidR="005368AD" w:rsidRDefault="005368AD" w:rsidP="00731E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4" w:hanging="184"/>
            </w:pPr>
          </w:p>
        </w:tc>
      </w:tr>
      <w:tr w:rsidR="00910DAD" w:rsidTr="00AA4577">
        <w:tc>
          <w:tcPr>
            <w:tcW w:w="1940" w:type="dxa"/>
            <w:gridSpan w:val="2"/>
          </w:tcPr>
          <w:p w:rsidR="007F5FB6" w:rsidRDefault="007F5FB6"/>
        </w:tc>
        <w:tc>
          <w:tcPr>
            <w:tcW w:w="2087" w:type="dxa"/>
          </w:tcPr>
          <w:p w:rsidR="007F5FB6" w:rsidRDefault="007F5FB6"/>
        </w:tc>
        <w:tc>
          <w:tcPr>
            <w:tcW w:w="3012" w:type="dxa"/>
          </w:tcPr>
          <w:p w:rsidR="006F2C44" w:rsidRDefault="006F2C44" w:rsidP="006F2C44">
            <w:pPr>
              <w:pStyle w:val="ListParagraph"/>
              <w:autoSpaceDE w:val="0"/>
              <w:autoSpaceDN w:val="0"/>
              <w:adjustRightInd w:val="0"/>
              <w:ind w:left="162"/>
            </w:pPr>
          </w:p>
        </w:tc>
        <w:tc>
          <w:tcPr>
            <w:tcW w:w="3581" w:type="dxa"/>
          </w:tcPr>
          <w:p w:rsidR="006F2C44" w:rsidRDefault="006F2C44" w:rsidP="006F2C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</w:pPr>
          </w:p>
        </w:tc>
      </w:tr>
    </w:tbl>
    <w:p w:rsidR="00F45077" w:rsidRDefault="00F45077"/>
    <w:tbl>
      <w:tblPr>
        <w:tblStyle w:val="TableGrid"/>
        <w:tblW w:w="10620" w:type="dxa"/>
        <w:tblInd w:w="-522" w:type="dxa"/>
        <w:tblLook w:val="04A0"/>
      </w:tblPr>
      <w:tblGrid>
        <w:gridCol w:w="1003"/>
        <w:gridCol w:w="937"/>
        <w:gridCol w:w="2087"/>
        <w:gridCol w:w="3012"/>
        <w:gridCol w:w="3581"/>
      </w:tblGrid>
      <w:tr w:rsidR="00B06F79" w:rsidTr="00600EFA">
        <w:tc>
          <w:tcPr>
            <w:tcW w:w="10620" w:type="dxa"/>
            <w:gridSpan w:val="5"/>
            <w:shd w:val="clear" w:color="auto" w:fill="000000" w:themeFill="text1"/>
          </w:tcPr>
          <w:p w:rsidR="00B06F79" w:rsidRPr="007F5FB6" w:rsidRDefault="002E0E04" w:rsidP="002E0E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</w:rPr>
              <w:t>Principle 5</w:t>
            </w:r>
            <w:r w:rsidR="00B06F79" w:rsidRPr="00576E96">
              <w:rPr>
                <w:b/>
                <w:sz w:val="24"/>
              </w:rPr>
              <w:t xml:space="preserve"> – </w:t>
            </w:r>
            <w:r>
              <w:rPr>
                <w:rFonts w:ascii="GillSansMT-Bold" w:hAnsi="GillSansMT-Bold" w:cs="GillSansMT-Bold"/>
                <w:b/>
                <w:bCs/>
              </w:rPr>
              <w:t>ENVIRONMENTAL CONSERVATION AND RECOVERY: contribution to conservation and recovery of natural ecosystems, biodiversity and environmental services.</w:t>
            </w:r>
          </w:p>
        </w:tc>
      </w:tr>
      <w:tr w:rsidR="00B06F79" w:rsidTr="00600EFA">
        <w:tc>
          <w:tcPr>
            <w:tcW w:w="1003" w:type="dxa"/>
          </w:tcPr>
          <w:p w:rsidR="00B06F79" w:rsidRDefault="00B06F79" w:rsidP="003061E7">
            <w:r>
              <w:t xml:space="preserve">Criterion </w:t>
            </w:r>
            <w:r w:rsidR="003061E7">
              <w:t>5</w:t>
            </w:r>
            <w:r>
              <w:t>.1</w:t>
            </w:r>
          </w:p>
        </w:tc>
        <w:tc>
          <w:tcPr>
            <w:tcW w:w="9617" w:type="dxa"/>
            <w:gridSpan w:val="4"/>
          </w:tcPr>
          <w:p w:rsidR="00B06F79" w:rsidRDefault="003061E7" w:rsidP="003061E7">
            <w:pPr>
              <w:autoSpaceDE w:val="0"/>
              <w:autoSpaceDN w:val="0"/>
              <w:adjustRightInd w:val="0"/>
            </w:pPr>
            <w:r w:rsidRPr="003061E7">
              <w:t>REDD+ actions shall contribute to the conservation and recovery of natural ecosystems and avoid causing significant negative impacts to biodiversity and ecosystem services.</w:t>
            </w:r>
          </w:p>
        </w:tc>
      </w:tr>
      <w:tr w:rsidR="00B06F79" w:rsidTr="00600EFA">
        <w:tc>
          <w:tcPr>
            <w:tcW w:w="1003" w:type="dxa"/>
          </w:tcPr>
          <w:p w:rsidR="00B06F79" w:rsidRDefault="00B06F79" w:rsidP="003061E7">
            <w:r>
              <w:t xml:space="preserve">Criterion </w:t>
            </w:r>
            <w:r w:rsidR="003061E7">
              <w:t>5</w:t>
            </w:r>
            <w:r w:rsidR="00F37965">
              <w:t>.</w:t>
            </w:r>
            <w:r w:rsidR="003061E7">
              <w:t>2</w:t>
            </w:r>
          </w:p>
        </w:tc>
        <w:tc>
          <w:tcPr>
            <w:tcW w:w="9617" w:type="dxa"/>
            <w:gridSpan w:val="4"/>
          </w:tcPr>
          <w:p w:rsidR="00B06F79" w:rsidRDefault="003061E7" w:rsidP="003061E7">
            <w:pPr>
              <w:autoSpaceDE w:val="0"/>
              <w:autoSpaceDN w:val="0"/>
              <w:adjustRightInd w:val="0"/>
            </w:pPr>
            <w:r w:rsidRPr="003061E7">
              <w:t>Species or ecosystems that are rare, endemic or threatened with extinction, as well as any other high conservation value attribute, shall be previously identified, protected and monitored.</w:t>
            </w:r>
          </w:p>
        </w:tc>
      </w:tr>
      <w:tr w:rsidR="003061E7" w:rsidTr="00600EFA">
        <w:tc>
          <w:tcPr>
            <w:tcW w:w="1003" w:type="dxa"/>
          </w:tcPr>
          <w:p w:rsidR="003061E7" w:rsidRDefault="003061E7" w:rsidP="00F37965">
            <w:r>
              <w:t>Criterion 5.3</w:t>
            </w:r>
          </w:p>
        </w:tc>
        <w:tc>
          <w:tcPr>
            <w:tcW w:w="9617" w:type="dxa"/>
            <w:gridSpan w:val="4"/>
          </w:tcPr>
          <w:p w:rsidR="003061E7" w:rsidRPr="003061E7" w:rsidRDefault="003061E7" w:rsidP="00D655B9">
            <w:pPr>
              <w:autoSpaceDE w:val="0"/>
              <w:autoSpaceDN w:val="0"/>
              <w:adjustRightInd w:val="0"/>
            </w:pPr>
            <w:r w:rsidRPr="003061E7">
              <w:t>In case of restoration activities in degraded areas, REDD+ actions shall use native species.</w:t>
            </w:r>
          </w:p>
        </w:tc>
      </w:tr>
      <w:tr w:rsidR="00B06F79" w:rsidTr="00600EFA">
        <w:tc>
          <w:tcPr>
            <w:tcW w:w="10620" w:type="dxa"/>
            <w:gridSpan w:val="5"/>
          </w:tcPr>
          <w:p w:rsidR="00B06F79" w:rsidRPr="007F5FB6" w:rsidRDefault="00B06F79" w:rsidP="00600EFA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B06F79" w:rsidTr="00600EFA">
        <w:tc>
          <w:tcPr>
            <w:tcW w:w="1940" w:type="dxa"/>
            <w:gridSpan w:val="2"/>
          </w:tcPr>
          <w:p w:rsidR="00B06F79" w:rsidRDefault="00B06F79" w:rsidP="00600EFA">
            <w:pPr>
              <w:jc w:val="center"/>
            </w:pPr>
            <w:r>
              <w:t>Theme</w:t>
            </w:r>
          </w:p>
        </w:tc>
        <w:tc>
          <w:tcPr>
            <w:tcW w:w="2087" w:type="dxa"/>
          </w:tcPr>
          <w:p w:rsidR="00B06F79" w:rsidRDefault="00B06F79" w:rsidP="00600EFA">
            <w:pPr>
              <w:jc w:val="center"/>
            </w:pPr>
            <w:r>
              <w:t>Indicator</w:t>
            </w:r>
          </w:p>
        </w:tc>
        <w:tc>
          <w:tcPr>
            <w:tcW w:w="3012" w:type="dxa"/>
          </w:tcPr>
          <w:p w:rsidR="00B06F79" w:rsidRDefault="00B06F79" w:rsidP="00600EFA">
            <w:pPr>
              <w:jc w:val="center"/>
            </w:pPr>
            <w:r>
              <w:t>Reference</w:t>
            </w:r>
          </w:p>
        </w:tc>
        <w:tc>
          <w:tcPr>
            <w:tcW w:w="3581" w:type="dxa"/>
          </w:tcPr>
          <w:p w:rsidR="00B06F79" w:rsidRDefault="00B06F79" w:rsidP="00600EFA">
            <w:pPr>
              <w:jc w:val="center"/>
            </w:pPr>
            <w:r>
              <w:t xml:space="preserve">Requirement for Verification </w:t>
            </w:r>
          </w:p>
        </w:tc>
      </w:tr>
      <w:tr w:rsidR="00B06F79" w:rsidTr="00600EFA">
        <w:tc>
          <w:tcPr>
            <w:tcW w:w="1940" w:type="dxa"/>
            <w:gridSpan w:val="2"/>
          </w:tcPr>
          <w:p w:rsidR="00B06F79" w:rsidRDefault="00B06F79" w:rsidP="00600EFA"/>
        </w:tc>
        <w:tc>
          <w:tcPr>
            <w:tcW w:w="2087" w:type="dxa"/>
          </w:tcPr>
          <w:p w:rsidR="00B06F79" w:rsidRDefault="00B06F79" w:rsidP="00600EFA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</w:tcPr>
          <w:p w:rsidR="00B06F79" w:rsidRDefault="00B06F79" w:rsidP="00600E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0" w:hanging="260"/>
            </w:pPr>
          </w:p>
        </w:tc>
        <w:tc>
          <w:tcPr>
            <w:tcW w:w="3581" w:type="dxa"/>
          </w:tcPr>
          <w:p w:rsidR="00B06F79" w:rsidRDefault="00B06F79" w:rsidP="00600E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4" w:hanging="184"/>
            </w:pPr>
          </w:p>
        </w:tc>
      </w:tr>
      <w:tr w:rsidR="00B06F79" w:rsidTr="00600EFA">
        <w:tc>
          <w:tcPr>
            <w:tcW w:w="1940" w:type="dxa"/>
            <w:gridSpan w:val="2"/>
          </w:tcPr>
          <w:p w:rsidR="00B06F79" w:rsidRDefault="00B06F79" w:rsidP="00600EFA"/>
        </w:tc>
        <w:tc>
          <w:tcPr>
            <w:tcW w:w="2087" w:type="dxa"/>
          </w:tcPr>
          <w:p w:rsidR="00B06F79" w:rsidRDefault="00B06F79" w:rsidP="00600EFA"/>
        </w:tc>
        <w:tc>
          <w:tcPr>
            <w:tcW w:w="3012" w:type="dxa"/>
          </w:tcPr>
          <w:p w:rsidR="00B06F79" w:rsidRDefault="00B06F79" w:rsidP="00600EFA">
            <w:pPr>
              <w:pStyle w:val="ListParagraph"/>
              <w:autoSpaceDE w:val="0"/>
              <w:autoSpaceDN w:val="0"/>
              <w:adjustRightInd w:val="0"/>
              <w:ind w:left="162"/>
            </w:pPr>
          </w:p>
        </w:tc>
        <w:tc>
          <w:tcPr>
            <w:tcW w:w="3581" w:type="dxa"/>
          </w:tcPr>
          <w:p w:rsidR="00B06F79" w:rsidRDefault="00B06F79" w:rsidP="00600E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</w:pPr>
          </w:p>
        </w:tc>
      </w:tr>
    </w:tbl>
    <w:p w:rsidR="00F460F6" w:rsidRDefault="00F460F6"/>
    <w:p w:rsidR="00F460F6" w:rsidRDefault="00F460F6">
      <w:r>
        <w:br w:type="page"/>
      </w:r>
    </w:p>
    <w:p w:rsidR="00AD60B6" w:rsidRDefault="00AD60B6"/>
    <w:tbl>
      <w:tblPr>
        <w:tblStyle w:val="TableGrid"/>
        <w:tblW w:w="10620" w:type="dxa"/>
        <w:tblInd w:w="-522" w:type="dxa"/>
        <w:tblLook w:val="04A0"/>
      </w:tblPr>
      <w:tblGrid>
        <w:gridCol w:w="1003"/>
        <w:gridCol w:w="920"/>
        <w:gridCol w:w="2079"/>
        <w:gridCol w:w="3007"/>
        <w:gridCol w:w="3611"/>
      </w:tblGrid>
      <w:tr w:rsidR="00F460F6" w:rsidRPr="007F5FB6" w:rsidTr="00D867AD">
        <w:tc>
          <w:tcPr>
            <w:tcW w:w="10620" w:type="dxa"/>
            <w:gridSpan w:val="5"/>
            <w:shd w:val="clear" w:color="auto" w:fill="000000" w:themeFill="text1"/>
          </w:tcPr>
          <w:p w:rsidR="00F460F6" w:rsidRPr="007F5FB6" w:rsidRDefault="00F460F6" w:rsidP="00D867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</w:rPr>
              <w:t>Principle 7</w:t>
            </w:r>
            <w:r w:rsidRPr="00576E96">
              <w:rPr>
                <w:b/>
                <w:sz w:val="24"/>
              </w:rPr>
              <w:t xml:space="preserve"> – </w:t>
            </w:r>
            <w:r>
              <w:rPr>
                <w:rFonts w:ascii="GillSansMT-Bold" w:hAnsi="GillSansMT-Bold" w:cs="GillSansMT-Bold"/>
                <w:b/>
                <w:bCs/>
              </w:rPr>
              <w:t>MONITORING AND TRANSPARENCY: complete availability of information related to REDD+ actions.</w:t>
            </w:r>
          </w:p>
        </w:tc>
      </w:tr>
      <w:tr w:rsidR="00F460F6" w:rsidTr="00D867AD">
        <w:tc>
          <w:tcPr>
            <w:tcW w:w="1003" w:type="dxa"/>
          </w:tcPr>
          <w:p w:rsidR="00F460F6" w:rsidRDefault="00F460F6" w:rsidP="00D867AD">
            <w:r>
              <w:t>Criterion 7.1</w:t>
            </w:r>
          </w:p>
        </w:tc>
        <w:tc>
          <w:tcPr>
            <w:tcW w:w="9617" w:type="dxa"/>
            <w:gridSpan w:val="4"/>
          </w:tcPr>
          <w:p w:rsidR="00F460F6" w:rsidRDefault="00F460F6" w:rsidP="00D867AD">
            <w:pPr>
              <w:autoSpaceDE w:val="0"/>
              <w:autoSpaceDN w:val="0"/>
              <w:adjustRightInd w:val="0"/>
            </w:pPr>
            <w:r w:rsidRPr="00B65958">
              <w:t>Beneficiaries shall have free access to information relating to REDD+ actions, in simple language, so they can</w:t>
            </w:r>
            <w:r>
              <w:t xml:space="preserve"> </w:t>
            </w:r>
            <w:r w:rsidRPr="00B65958">
              <w:t>participate in the decision making process in a previously informed and responsible manner.</w:t>
            </w:r>
          </w:p>
        </w:tc>
      </w:tr>
      <w:tr w:rsidR="00F460F6" w:rsidTr="00D867AD">
        <w:tc>
          <w:tcPr>
            <w:tcW w:w="1003" w:type="dxa"/>
          </w:tcPr>
          <w:p w:rsidR="00F460F6" w:rsidRDefault="00F460F6" w:rsidP="00D867AD">
            <w:r>
              <w:t>Criterion 7.2</w:t>
            </w:r>
          </w:p>
        </w:tc>
        <w:tc>
          <w:tcPr>
            <w:tcW w:w="9617" w:type="dxa"/>
            <w:gridSpan w:val="4"/>
          </w:tcPr>
          <w:p w:rsidR="00F460F6" w:rsidRDefault="00F460F6" w:rsidP="00D867AD">
            <w:pPr>
              <w:autoSpaceDE w:val="0"/>
              <w:autoSpaceDN w:val="0"/>
              <w:adjustRightInd w:val="0"/>
            </w:pPr>
            <w:r w:rsidRPr="00B65958">
              <w:t>Transparency of information about REDD+ actions shall be guaranteed, including at least those related to the</w:t>
            </w:r>
            <w:r>
              <w:t xml:space="preserve"> </w:t>
            </w:r>
            <w:r w:rsidRPr="00B65958">
              <w:t>methodology, location and size of the area, definition and participation of involved and affected stakeholders, activities</w:t>
            </w:r>
            <w:r>
              <w:t xml:space="preserve"> </w:t>
            </w:r>
            <w:r w:rsidRPr="00B65958">
              <w:t>to be executed, time length of the project and conflict resolution mechanisms.</w:t>
            </w:r>
          </w:p>
        </w:tc>
      </w:tr>
      <w:tr w:rsidR="00F460F6" w:rsidTr="00D867AD">
        <w:tc>
          <w:tcPr>
            <w:tcW w:w="1003" w:type="dxa"/>
          </w:tcPr>
          <w:p w:rsidR="00F460F6" w:rsidRDefault="00F460F6" w:rsidP="00D867AD">
            <w:r>
              <w:t>Criterion 7.3</w:t>
            </w:r>
          </w:p>
        </w:tc>
        <w:tc>
          <w:tcPr>
            <w:tcW w:w="9617" w:type="dxa"/>
            <w:gridSpan w:val="4"/>
          </w:tcPr>
          <w:p w:rsidR="00F460F6" w:rsidRPr="005368AD" w:rsidRDefault="00F460F6" w:rsidP="00D867AD">
            <w:pPr>
              <w:autoSpaceDE w:val="0"/>
              <w:autoSpaceDN w:val="0"/>
              <w:adjustRightInd w:val="0"/>
            </w:pPr>
            <w:r w:rsidRPr="00B65958">
              <w:t>In public lands, protected areas and in other areas that involve Indigenous Peoples, small landowners and local</w:t>
            </w:r>
            <w:r>
              <w:t xml:space="preserve"> </w:t>
            </w:r>
            <w:r w:rsidRPr="00B65958">
              <w:t>communities, or in REDD+ actions supported by public funds, there shall be ensured transparency of information</w:t>
            </w:r>
            <w:r>
              <w:t xml:space="preserve"> </w:t>
            </w:r>
            <w:r w:rsidRPr="00B65958">
              <w:t>regarding the raise, use and distribution of benefits generated by REDD+, as well as periodic financial reporting.</w:t>
            </w:r>
          </w:p>
        </w:tc>
      </w:tr>
      <w:tr w:rsidR="00F460F6" w:rsidTr="00D867AD">
        <w:tc>
          <w:tcPr>
            <w:tcW w:w="1003" w:type="dxa"/>
          </w:tcPr>
          <w:p w:rsidR="00F460F6" w:rsidRDefault="00F460F6" w:rsidP="00D867AD">
            <w:r>
              <w:t>Criterion 7.4</w:t>
            </w:r>
          </w:p>
        </w:tc>
        <w:tc>
          <w:tcPr>
            <w:tcW w:w="9617" w:type="dxa"/>
            <w:gridSpan w:val="4"/>
          </w:tcPr>
          <w:p w:rsidR="00F460F6" w:rsidRPr="005368AD" w:rsidRDefault="00F460F6" w:rsidP="00D867AD">
            <w:pPr>
              <w:autoSpaceDE w:val="0"/>
              <w:autoSpaceDN w:val="0"/>
              <w:adjustRightInd w:val="0"/>
            </w:pPr>
            <w:r w:rsidRPr="00B65958">
              <w:t>There shall be periodic monitoring of the socio-environmental, economic and climate related impacts and benefits</w:t>
            </w:r>
            <w:r>
              <w:t xml:space="preserve"> </w:t>
            </w:r>
            <w:r w:rsidRPr="00B65958">
              <w:t>of REDD+ actions, while respecting the traditional way of life and practices of Indigenous Peoples, small landowners</w:t>
            </w:r>
            <w:r>
              <w:t xml:space="preserve"> </w:t>
            </w:r>
            <w:r w:rsidRPr="00B65958">
              <w:t>and local communities, and results of this monitoring shall be made publicly available.</w:t>
            </w:r>
          </w:p>
        </w:tc>
      </w:tr>
      <w:tr w:rsidR="00F460F6" w:rsidRPr="007F5FB6" w:rsidTr="00D867AD">
        <w:tc>
          <w:tcPr>
            <w:tcW w:w="10620" w:type="dxa"/>
            <w:gridSpan w:val="5"/>
          </w:tcPr>
          <w:p w:rsidR="00F460F6" w:rsidRPr="007F5FB6" w:rsidRDefault="00F460F6" w:rsidP="00D867AD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F460F6" w:rsidTr="00D867AD">
        <w:tc>
          <w:tcPr>
            <w:tcW w:w="1923" w:type="dxa"/>
            <w:gridSpan w:val="2"/>
          </w:tcPr>
          <w:p w:rsidR="00F460F6" w:rsidRDefault="00F460F6" w:rsidP="00D867AD">
            <w:pPr>
              <w:jc w:val="center"/>
            </w:pPr>
            <w:r>
              <w:t>Theme</w:t>
            </w:r>
          </w:p>
        </w:tc>
        <w:tc>
          <w:tcPr>
            <w:tcW w:w="2079" w:type="dxa"/>
          </w:tcPr>
          <w:p w:rsidR="00F460F6" w:rsidRDefault="00F460F6" w:rsidP="00D867AD">
            <w:pPr>
              <w:jc w:val="center"/>
            </w:pPr>
            <w:r>
              <w:t>Indicator</w:t>
            </w:r>
          </w:p>
        </w:tc>
        <w:tc>
          <w:tcPr>
            <w:tcW w:w="3007" w:type="dxa"/>
          </w:tcPr>
          <w:p w:rsidR="00F460F6" w:rsidRDefault="00F460F6" w:rsidP="00D867AD">
            <w:pPr>
              <w:jc w:val="center"/>
            </w:pPr>
            <w:r>
              <w:t>Reference</w:t>
            </w:r>
          </w:p>
        </w:tc>
        <w:tc>
          <w:tcPr>
            <w:tcW w:w="3611" w:type="dxa"/>
          </w:tcPr>
          <w:p w:rsidR="00F460F6" w:rsidRDefault="00F460F6" w:rsidP="00D867AD">
            <w:pPr>
              <w:jc w:val="center"/>
            </w:pPr>
            <w:r>
              <w:t xml:space="preserve">Requirement for Verification </w:t>
            </w:r>
          </w:p>
        </w:tc>
      </w:tr>
      <w:tr w:rsidR="00F460F6" w:rsidTr="00D867AD">
        <w:tc>
          <w:tcPr>
            <w:tcW w:w="1923" w:type="dxa"/>
            <w:gridSpan w:val="2"/>
          </w:tcPr>
          <w:p w:rsidR="00F460F6" w:rsidRDefault="00F460F6" w:rsidP="00D867AD"/>
        </w:tc>
        <w:tc>
          <w:tcPr>
            <w:tcW w:w="2079" w:type="dxa"/>
          </w:tcPr>
          <w:p w:rsidR="00F460F6" w:rsidRDefault="00F460F6" w:rsidP="00D867AD"/>
        </w:tc>
        <w:tc>
          <w:tcPr>
            <w:tcW w:w="3007" w:type="dxa"/>
          </w:tcPr>
          <w:p w:rsidR="00F460F6" w:rsidRDefault="00F460F6" w:rsidP="00D867AD">
            <w:pPr>
              <w:pStyle w:val="ListParagraph"/>
              <w:numPr>
                <w:ilvl w:val="0"/>
                <w:numId w:val="1"/>
              </w:numPr>
              <w:ind w:left="198" w:hanging="180"/>
            </w:pPr>
          </w:p>
        </w:tc>
        <w:tc>
          <w:tcPr>
            <w:tcW w:w="3611" w:type="dxa"/>
          </w:tcPr>
          <w:p w:rsidR="00F460F6" w:rsidRDefault="00F460F6" w:rsidP="00D867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</w:p>
        </w:tc>
      </w:tr>
      <w:tr w:rsidR="00F460F6" w:rsidTr="00D867AD">
        <w:tc>
          <w:tcPr>
            <w:tcW w:w="1923" w:type="dxa"/>
            <w:gridSpan w:val="2"/>
          </w:tcPr>
          <w:p w:rsidR="00F460F6" w:rsidRDefault="00F460F6" w:rsidP="00D867AD"/>
        </w:tc>
        <w:tc>
          <w:tcPr>
            <w:tcW w:w="2079" w:type="dxa"/>
          </w:tcPr>
          <w:p w:rsidR="00F460F6" w:rsidRDefault="00F460F6" w:rsidP="00D867AD"/>
        </w:tc>
        <w:tc>
          <w:tcPr>
            <w:tcW w:w="3007" w:type="dxa"/>
          </w:tcPr>
          <w:p w:rsidR="00F460F6" w:rsidRDefault="00F460F6" w:rsidP="00D867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</w:p>
        </w:tc>
        <w:tc>
          <w:tcPr>
            <w:tcW w:w="3611" w:type="dxa"/>
          </w:tcPr>
          <w:p w:rsidR="00F460F6" w:rsidRDefault="00F460F6" w:rsidP="00D867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</w:p>
        </w:tc>
      </w:tr>
    </w:tbl>
    <w:p w:rsidR="00DF2F26" w:rsidRDefault="00DF2F26"/>
    <w:tbl>
      <w:tblPr>
        <w:tblStyle w:val="TableGrid"/>
        <w:tblW w:w="10620" w:type="dxa"/>
        <w:tblInd w:w="-522" w:type="dxa"/>
        <w:tblLook w:val="04A0"/>
      </w:tblPr>
      <w:tblGrid>
        <w:gridCol w:w="1003"/>
        <w:gridCol w:w="920"/>
        <w:gridCol w:w="2079"/>
        <w:gridCol w:w="3007"/>
        <w:gridCol w:w="3611"/>
      </w:tblGrid>
      <w:tr w:rsidR="00186DAB" w:rsidRPr="007F5FB6" w:rsidTr="001A7744">
        <w:tc>
          <w:tcPr>
            <w:tcW w:w="10620" w:type="dxa"/>
            <w:gridSpan w:val="5"/>
            <w:shd w:val="clear" w:color="auto" w:fill="000000" w:themeFill="text1"/>
          </w:tcPr>
          <w:p w:rsidR="00186DAB" w:rsidRPr="007F5FB6" w:rsidRDefault="00186DAB" w:rsidP="001A774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</w:rPr>
              <w:t xml:space="preserve">Principle 8 </w:t>
            </w:r>
            <w:r w:rsidRPr="00576E96">
              <w:rPr>
                <w:b/>
                <w:sz w:val="24"/>
              </w:rPr>
              <w:t xml:space="preserve">– </w:t>
            </w:r>
            <w:r>
              <w:rPr>
                <w:rFonts w:ascii="GillSansMT-Bold" w:hAnsi="GillSansMT-Bold" w:cs="GillSansMT-Bold"/>
                <w:b/>
                <w:bCs/>
              </w:rPr>
              <w:t>GOVERNANCE: fostering of better governance, coordination and alignment with national, regional and local policies and guidelines.</w:t>
            </w:r>
          </w:p>
        </w:tc>
      </w:tr>
      <w:tr w:rsidR="00186DAB" w:rsidTr="001A7744">
        <w:tc>
          <w:tcPr>
            <w:tcW w:w="1003" w:type="dxa"/>
          </w:tcPr>
          <w:p w:rsidR="00186DAB" w:rsidRDefault="00186DAB" w:rsidP="001A7744">
            <w:r>
              <w:t>Criterion 8.1</w:t>
            </w:r>
          </w:p>
        </w:tc>
        <w:tc>
          <w:tcPr>
            <w:tcW w:w="9617" w:type="dxa"/>
            <w:gridSpan w:val="4"/>
          </w:tcPr>
          <w:p w:rsidR="00186DAB" w:rsidRDefault="00186DAB" w:rsidP="001A7744">
            <w:pPr>
              <w:autoSpaceDE w:val="0"/>
              <w:autoSpaceDN w:val="0"/>
              <w:adjustRightInd w:val="0"/>
            </w:pPr>
            <w:r w:rsidRPr="00767949">
              <w:t>REDD+ actions shall be coordinated and be consistent with national, state, regional and municipal policies and</w:t>
            </w:r>
            <w:r>
              <w:t xml:space="preserve"> </w:t>
            </w:r>
            <w:r w:rsidRPr="00767949">
              <w:t>program on climate change, conservation, sustainable development and deforestation prevention.</w:t>
            </w:r>
          </w:p>
        </w:tc>
      </w:tr>
      <w:tr w:rsidR="00186DAB" w:rsidTr="001A7744">
        <w:tc>
          <w:tcPr>
            <w:tcW w:w="1003" w:type="dxa"/>
          </w:tcPr>
          <w:p w:rsidR="00186DAB" w:rsidRDefault="00186DAB" w:rsidP="001A7744">
            <w:r>
              <w:t>Criterion 8.2</w:t>
            </w:r>
          </w:p>
        </w:tc>
        <w:tc>
          <w:tcPr>
            <w:tcW w:w="9617" w:type="dxa"/>
            <w:gridSpan w:val="4"/>
          </w:tcPr>
          <w:p w:rsidR="00186DAB" w:rsidRDefault="00186DAB" w:rsidP="001A7744">
            <w:pPr>
              <w:autoSpaceDE w:val="0"/>
              <w:autoSpaceDN w:val="0"/>
              <w:adjustRightInd w:val="0"/>
            </w:pPr>
            <w:r w:rsidRPr="00767949">
              <w:t>REDD+ actions shall meet the requirements of state or national REDD+ policies.</w:t>
            </w:r>
          </w:p>
        </w:tc>
      </w:tr>
      <w:tr w:rsidR="00186DAB" w:rsidTr="001A7744">
        <w:tc>
          <w:tcPr>
            <w:tcW w:w="1003" w:type="dxa"/>
          </w:tcPr>
          <w:p w:rsidR="00186DAB" w:rsidRDefault="00186DAB" w:rsidP="001A7744">
            <w:r>
              <w:t>Criterion 8.3</w:t>
            </w:r>
          </w:p>
        </w:tc>
        <w:tc>
          <w:tcPr>
            <w:tcW w:w="9617" w:type="dxa"/>
            <w:gridSpan w:val="4"/>
          </w:tcPr>
          <w:p w:rsidR="00186DAB" w:rsidRPr="005368AD" w:rsidRDefault="00186DAB" w:rsidP="001A7744">
            <w:pPr>
              <w:autoSpaceDE w:val="0"/>
              <w:autoSpaceDN w:val="0"/>
              <w:adjustRightInd w:val="0"/>
            </w:pPr>
            <w:r w:rsidRPr="00767949">
              <w:t>Emissions reduction and carbon sequestration generated by REDD+ actions shall be quantified and registered in a</w:t>
            </w:r>
            <w:r>
              <w:t xml:space="preserve"> </w:t>
            </w:r>
            <w:r w:rsidRPr="00767949">
              <w:t>way to avoid double counting.</w:t>
            </w:r>
          </w:p>
        </w:tc>
      </w:tr>
      <w:tr w:rsidR="00186DAB" w:rsidTr="001A7744">
        <w:tc>
          <w:tcPr>
            <w:tcW w:w="1003" w:type="dxa"/>
          </w:tcPr>
          <w:p w:rsidR="00186DAB" w:rsidRDefault="00186DAB" w:rsidP="001A7744">
            <w:r>
              <w:t>Criterion 8.4</w:t>
            </w:r>
          </w:p>
        </w:tc>
        <w:tc>
          <w:tcPr>
            <w:tcW w:w="9617" w:type="dxa"/>
            <w:gridSpan w:val="4"/>
          </w:tcPr>
          <w:p w:rsidR="00186DAB" w:rsidRPr="005368AD" w:rsidRDefault="00186DAB" w:rsidP="001A7744">
            <w:pPr>
              <w:autoSpaceDE w:val="0"/>
              <w:autoSpaceDN w:val="0"/>
              <w:adjustRightInd w:val="0"/>
            </w:pPr>
            <w:r w:rsidRPr="00767949">
              <w:t>REDD+ government actions shall contribute to strengthen public instruments and processes for forestry and</w:t>
            </w:r>
            <w:r>
              <w:t xml:space="preserve"> </w:t>
            </w:r>
            <w:r w:rsidRPr="00767949">
              <w:t>territory management.</w:t>
            </w:r>
          </w:p>
        </w:tc>
      </w:tr>
      <w:tr w:rsidR="00186DAB" w:rsidRPr="007F5FB6" w:rsidTr="001A7744">
        <w:tc>
          <w:tcPr>
            <w:tcW w:w="10620" w:type="dxa"/>
            <w:gridSpan w:val="5"/>
          </w:tcPr>
          <w:p w:rsidR="00186DAB" w:rsidRPr="007F5FB6" w:rsidRDefault="00186DAB" w:rsidP="001A7744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186DAB" w:rsidTr="001A7744">
        <w:tc>
          <w:tcPr>
            <w:tcW w:w="1923" w:type="dxa"/>
            <w:gridSpan w:val="2"/>
          </w:tcPr>
          <w:p w:rsidR="00186DAB" w:rsidRDefault="00186DAB" w:rsidP="001A7744">
            <w:pPr>
              <w:jc w:val="center"/>
            </w:pPr>
            <w:r>
              <w:t>Theme</w:t>
            </w:r>
          </w:p>
        </w:tc>
        <w:tc>
          <w:tcPr>
            <w:tcW w:w="2079" w:type="dxa"/>
          </w:tcPr>
          <w:p w:rsidR="00186DAB" w:rsidRDefault="00186DAB" w:rsidP="001A7744">
            <w:pPr>
              <w:jc w:val="center"/>
            </w:pPr>
            <w:r>
              <w:t>Indicator</w:t>
            </w:r>
          </w:p>
        </w:tc>
        <w:tc>
          <w:tcPr>
            <w:tcW w:w="3007" w:type="dxa"/>
          </w:tcPr>
          <w:p w:rsidR="00186DAB" w:rsidRDefault="00186DAB" w:rsidP="001A7744">
            <w:pPr>
              <w:jc w:val="center"/>
            </w:pPr>
            <w:r>
              <w:t>Reference</w:t>
            </w:r>
          </w:p>
        </w:tc>
        <w:tc>
          <w:tcPr>
            <w:tcW w:w="3611" w:type="dxa"/>
          </w:tcPr>
          <w:p w:rsidR="00186DAB" w:rsidRDefault="00186DAB" w:rsidP="001A7744">
            <w:pPr>
              <w:jc w:val="center"/>
            </w:pPr>
            <w:r>
              <w:t xml:space="preserve">Requirement for Verification </w:t>
            </w:r>
          </w:p>
        </w:tc>
      </w:tr>
      <w:tr w:rsidR="00186DAB" w:rsidTr="001A7744">
        <w:tc>
          <w:tcPr>
            <w:tcW w:w="1923" w:type="dxa"/>
            <w:gridSpan w:val="2"/>
          </w:tcPr>
          <w:p w:rsidR="00186DAB" w:rsidRDefault="00186DAB" w:rsidP="001A7744"/>
        </w:tc>
        <w:tc>
          <w:tcPr>
            <w:tcW w:w="2079" w:type="dxa"/>
          </w:tcPr>
          <w:p w:rsidR="00186DAB" w:rsidRDefault="00186DAB" w:rsidP="001A7744"/>
        </w:tc>
        <w:tc>
          <w:tcPr>
            <w:tcW w:w="3007" w:type="dxa"/>
          </w:tcPr>
          <w:p w:rsidR="00186DAB" w:rsidRDefault="00186DAB" w:rsidP="001A7744">
            <w:pPr>
              <w:pStyle w:val="ListParagraph"/>
              <w:numPr>
                <w:ilvl w:val="0"/>
                <w:numId w:val="1"/>
              </w:numPr>
              <w:ind w:left="198" w:hanging="180"/>
            </w:pPr>
          </w:p>
        </w:tc>
        <w:tc>
          <w:tcPr>
            <w:tcW w:w="3611" w:type="dxa"/>
          </w:tcPr>
          <w:p w:rsidR="00186DAB" w:rsidRDefault="00186DAB" w:rsidP="001A77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</w:p>
        </w:tc>
      </w:tr>
      <w:tr w:rsidR="00186DAB" w:rsidTr="001A7744">
        <w:tc>
          <w:tcPr>
            <w:tcW w:w="1923" w:type="dxa"/>
            <w:gridSpan w:val="2"/>
          </w:tcPr>
          <w:p w:rsidR="00186DAB" w:rsidRDefault="00186DAB" w:rsidP="001A7744"/>
        </w:tc>
        <w:tc>
          <w:tcPr>
            <w:tcW w:w="2079" w:type="dxa"/>
          </w:tcPr>
          <w:p w:rsidR="00186DAB" w:rsidRDefault="00186DAB" w:rsidP="001A7744"/>
        </w:tc>
        <w:tc>
          <w:tcPr>
            <w:tcW w:w="3007" w:type="dxa"/>
          </w:tcPr>
          <w:p w:rsidR="00186DAB" w:rsidRDefault="00186DAB" w:rsidP="001A77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</w:p>
        </w:tc>
        <w:tc>
          <w:tcPr>
            <w:tcW w:w="3611" w:type="dxa"/>
          </w:tcPr>
          <w:p w:rsidR="00186DAB" w:rsidRDefault="00186DAB" w:rsidP="001A77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</w:p>
        </w:tc>
      </w:tr>
    </w:tbl>
    <w:p w:rsidR="00186DAB" w:rsidRDefault="00186DAB"/>
    <w:sectPr w:rsidR="00186DAB" w:rsidSect="00AD60B6">
      <w:headerReference w:type="default" r:id="rId7"/>
      <w:footerReference w:type="default" r:id="rId8"/>
      <w:pgSz w:w="12240" w:h="15840"/>
      <w:pgMar w:top="11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F0" w:rsidRDefault="009823F0" w:rsidP="00AA4577">
      <w:pPr>
        <w:spacing w:after="0" w:line="240" w:lineRule="auto"/>
      </w:pPr>
      <w:r>
        <w:separator/>
      </w:r>
    </w:p>
  </w:endnote>
  <w:endnote w:type="continuationSeparator" w:id="0">
    <w:p w:rsidR="009823F0" w:rsidRDefault="009823F0" w:rsidP="00AA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6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A5370" w:rsidRDefault="00FB4F07" w:rsidP="00AD60B6">
            <w:pPr>
              <w:pStyle w:val="Footer"/>
            </w:pPr>
            <w:r>
              <w:t>3/2</w:t>
            </w:r>
            <w:r w:rsidR="00F460F6">
              <w:t>8</w:t>
            </w:r>
            <w:r w:rsidR="00BD6140">
              <w:t>/</w:t>
            </w:r>
            <w:r w:rsidR="00DA5370">
              <w:t>11</w:t>
            </w:r>
            <w:r w:rsidR="00DA5370">
              <w:tab/>
              <w:t xml:space="preserve">Page </w:t>
            </w:r>
            <w:r w:rsidR="00335AFD">
              <w:rPr>
                <w:b/>
                <w:sz w:val="24"/>
                <w:szCs w:val="24"/>
              </w:rPr>
              <w:fldChar w:fldCharType="begin"/>
            </w:r>
            <w:r w:rsidR="00DA5370">
              <w:rPr>
                <w:b/>
              </w:rPr>
              <w:instrText xml:space="preserve"> PAGE </w:instrText>
            </w:r>
            <w:r w:rsidR="00335AFD">
              <w:rPr>
                <w:b/>
                <w:sz w:val="24"/>
                <w:szCs w:val="24"/>
              </w:rPr>
              <w:fldChar w:fldCharType="separate"/>
            </w:r>
            <w:r w:rsidR="00D46D6D">
              <w:rPr>
                <w:b/>
                <w:noProof/>
              </w:rPr>
              <w:t>1</w:t>
            </w:r>
            <w:r w:rsidR="00335AFD">
              <w:rPr>
                <w:b/>
                <w:sz w:val="24"/>
                <w:szCs w:val="24"/>
              </w:rPr>
              <w:fldChar w:fldCharType="end"/>
            </w:r>
            <w:r w:rsidR="00DA5370">
              <w:t xml:space="preserve"> of </w:t>
            </w:r>
            <w:r w:rsidR="00335AFD">
              <w:rPr>
                <w:b/>
                <w:sz w:val="24"/>
                <w:szCs w:val="24"/>
              </w:rPr>
              <w:fldChar w:fldCharType="begin"/>
            </w:r>
            <w:r w:rsidR="00DA5370">
              <w:rPr>
                <w:b/>
              </w:rPr>
              <w:instrText xml:space="preserve"> NUMPAGES  </w:instrText>
            </w:r>
            <w:r w:rsidR="00335AFD">
              <w:rPr>
                <w:b/>
                <w:sz w:val="24"/>
                <w:szCs w:val="24"/>
              </w:rPr>
              <w:fldChar w:fldCharType="separate"/>
            </w:r>
            <w:r w:rsidR="00D46D6D">
              <w:rPr>
                <w:b/>
                <w:noProof/>
              </w:rPr>
              <w:t>2</w:t>
            </w:r>
            <w:r w:rsidR="00335A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F0" w:rsidRDefault="009823F0" w:rsidP="00AA4577">
      <w:pPr>
        <w:spacing w:after="0" w:line="240" w:lineRule="auto"/>
      </w:pPr>
      <w:r>
        <w:separator/>
      </w:r>
    </w:p>
  </w:footnote>
  <w:footnote w:type="continuationSeparator" w:id="0">
    <w:p w:rsidR="009823F0" w:rsidRDefault="009823F0" w:rsidP="00AA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70" w:rsidRPr="00AD60B6" w:rsidRDefault="0089630E" w:rsidP="00AA4577">
    <w:pPr>
      <w:ind w:left="-630"/>
      <w:rPr>
        <w:b/>
        <w:sz w:val="26"/>
        <w:szCs w:val="26"/>
      </w:rPr>
    </w:pPr>
    <w:r>
      <w:rPr>
        <w:b/>
        <w:sz w:val="26"/>
        <w:szCs w:val="26"/>
      </w:rPr>
      <w:t>Environmental</w:t>
    </w:r>
    <w:r w:rsidR="00DA5370" w:rsidRPr="00AD60B6">
      <w:rPr>
        <w:b/>
        <w:sz w:val="26"/>
        <w:szCs w:val="26"/>
      </w:rPr>
      <w:t xml:space="preserve"> Safeguards </w:t>
    </w:r>
    <w:r w:rsidR="00FB4F07" w:rsidRPr="00AD60B6">
      <w:rPr>
        <w:b/>
        <w:sz w:val="26"/>
        <w:szCs w:val="26"/>
      </w:rPr>
      <w:t xml:space="preserve">Summarized from </w:t>
    </w:r>
    <w:r w:rsidR="00FB4F07">
      <w:rPr>
        <w:b/>
        <w:sz w:val="26"/>
        <w:szCs w:val="26"/>
      </w:rPr>
      <w:t>REDD+ Social &amp; Environmental Standards/ Brazilian Amazon July</w:t>
    </w:r>
    <w:r w:rsidR="00FB4F07" w:rsidRPr="00AD60B6">
      <w:rPr>
        <w:b/>
        <w:sz w:val="26"/>
        <w:szCs w:val="26"/>
      </w:rPr>
      <w:t xml:space="preserve">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7D6"/>
    <w:multiLevelType w:val="hybridMultilevel"/>
    <w:tmpl w:val="D9D8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13FB"/>
    <w:multiLevelType w:val="hybridMultilevel"/>
    <w:tmpl w:val="8CA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B6"/>
    <w:rsid w:val="000173FB"/>
    <w:rsid w:val="00025A39"/>
    <w:rsid w:val="00053873"/>
    <w:rsid w:val="00061740"/>
    <w:rsid w:val="00066F47"/>
    <w:rsid w:val="00080485"/>
    <w:rsid w:val="00083069"/>
    <w:rsid w:val="00094FE5"/>
    <w:rsid w:val="000D59DD"/>
    <w:rsid w:val="000D6F8D"/>
    <w:rsid w:val="000E0F1A"/>
    <w:rsid w:val="000F533C"/>
    <w:rsid w:val="00113322"/>
    <w:rsid w:val="00126ECF"/>
    <w:rsid w:val="00181EC6"/>
    <w:rsid w:val="00186DAB"/>
    <w:rsid w:val="001C074C"/>
    <w:rsid w:val="001D4C61"/>
    <w:rsid w:val="001E3A3A"/>
    <w:rsid w:val="001F3C89"/>
    <w:rsid w:val="0021153F"/>
    <w:rsid w:val="00250393"/>
    <w:rsid w:val="00283869"/>
    <w:rsid w:val="002A5573"/>
    <w:rsid w:val="002B64B1"/>
    <w:rsid w:val="002E0E04"/>
    <w:rsid w:val="002E21FD"/>
    <w:rsid w:val="003061E7"/>
    <w:rsid w:val="003112D9"/>
    <w:rsid w:val="003123B2"/>
    <w:rsid w:val="00321E32"/>
    <w:rsid w:val="00335AFD"/>
    <w:rsid w:val="003442D9"/>
    <w:rsid w:val="003520B5"/>
    <w:rsid w:val="00383071"/>
    <w:rsid w:val="003D0034"/>
    <w:rsid w:val="003E63AE"/>
    <w:rsid w:val="003F024F"/>
    <w:rsid w:val="00414310"/>
    <w:rsid w:val="00437971"/>
    <w:rsid w:val="004441B0"/>
    <w:rsid w:val="00461D07"/>
    <w:rsid w:val="0049241F"/>
    <w:rsid w:val="004A670D"/>
    <w:rsid w:val="004D743F"/>
    <w:rsid w:val="00500F65"/>
    <w:rsid w:val="00504139"/>
    <w:rsid w:val="00504726"/>
    <w:rsid w:val="005365EA"/>
    <w:rsid w:val="005366A6"/>
    <w:rsid w:val="005368AD"/>
    <w:rsid w:val="00567A83"/>
    <w:rsid w:val="00576E96"/>
    <w:rsid w:val="005A3A31"/>
    <w:rsid w:val="005B1FA9"/>
    <w:rsid w:val="005E494E"/>
    <w:rsid w:val="00615468"/>
    <w:rsid w:val="00671686"/>
    <w:rsid w:val="00673043"/>
    <w:rsid w:val="0067330B"/>
    <w:rsid w:val="006779BC"/>
    <w:rsid w:val="006C1F82"/>
    <w:rsid w:val="006F2C44"/>
    <w:rsid w:val="006F746B"/>
    <w:rsid w:val="00706250"/>
    <w:rsid w:val="00731E80"/>
    <w:rsid w:val="00735C64"/>
    <w:rsid w:val="00741344"/>
    <w:rsid w:val="00752B1E"/>
    <w:rsid w:val="00786520"/>
    <w:rsid w:val="007B3DFB"/>
    <w:rsid w:val="007C7F71"/>
    <w:rsid w:val="007F5FB6"/>
    <w:rsid w:val="008138F1"/>
    <w:rsid w:val="0082603B"/>
    <w:rsid w:val="00842DA8"/>
    <w:rsid w:val="0089630E"/>
    <w:rsid w:val="008A2099"/>
    <w:rsid w:val="008C7D0E"/>
    <w:rsid w:val="008E2A89"/>
    <w:rsid w:val="00904BC8"/>
    <w:rsid w:val="00910DAD"/>
    <w:rsid w:val="0093047A"/>
    <w:rsid w:val="0093261D"/>
    <w:rsid w:val="0094455E"/>
    <w:rsid w:val="00954604"/>
    <w:rsid w:val="009823F0"/>
    <w:rsid w:val="00997F41"/>
    <w:rsid w:val="009A1AA6"/>
    <w:rsid w:val="009B68CC"/>
    <w:rsid w:val="009C45C3"/>
    <w:rsid w:val="009C6BBB"/>
    <w:rsid w:val="009E502C"/>
    <w:rsid w:val="00A06C3E"/>
    <w:rsid w:val="00A568C4"/>
    <w:rsid w:val="00A5758D"/>
    <w:rsid w:val="00A66544"/>
    <w:rsid w:val="00A72311"/>
    <w:rsid w:val="00A76B18"/>
    <w:rsid w:val="00A92020"/>
    <w:rsid w:val="00A94EC6"/>
    <w:rsid w:val="00A960D9"/>
    <w:rsid w:val="00AA4577"/>
    <w:rsid w:val="00AA4FA8"/>
    <w:rsid w:val="00AA52A1"/>
    <w:rsid w:val="00AD60B6"/>
    <w:rsid w:val="00AE7175"/>
    <w:rsid w:val="00AF07F9"/>
    <w:rsid w:val="00B06F79"/>
    <w:rsid w:val="00B157CF"/>
    <w:rsid w:val="00B1662D"/>
    <w:rsid w:val="00B17D38"/>
    <w:rsid w:val="00B31452"/>
    <w:rsid w:val="00B4495E"/>
    <w:rsid w:val="00B50BD2"/>
    <w:rsid w:val="00B572E0"/>
    <w:rsid w:val="00B75B08"/>
    <w:rsid w:val="00BC593B"/>
    <w:rsid w:val="00BD6140"/>
    <w:rsid w:val="00C4349F"/>
    <w:rsid w:val="00C44C1F"/>
    <w:rsid w:val="00CC6619"/>
    <w:rsid w:val="00CE6617"/>
    <w:rsid w:val="00D20410"/>
    <w:rsid w:val="00D46D6D"/>
    <w:rsid w:val="00D655B9"/>
    <w:rsid w:val="00D75EE1"/>
    <w:rsid w:val="00D9096E"/>
    <w:rsid w:val="00DA5370"/>
    <w:rsid w:val="00DF2F26"/>
    <w:rsid w:val="00E07326"/>
    <w:rsid w:val="00E076B1"/>
    <w:rsid w:val="00E16C95"/>
    <w:rsid w:val="00E64882"/>
    <w:rsid w:val="00EA295D"/>
    <w:rsid w:val="00EA7B7F"/>
    <w:rsid w:val="00EB56B1"/>
    <w:rsid w:val="00ED1958"/>
    <w:rsid w:val="00EF3FCB"/>
    <w:rsid w:val="00EF56EF"/>
    <w:rsid w:val="00F16EE0"/>
    <w:rsid w:val="00F215D2"/>
    <w:rsid w:val="00F271B5"/>
    <w:rsid w:val="00F37965"/>
    <w:rsid w:val="00F43258"/>
    <w:rsid w:val="00F45077"/>
    <w:rsid w:val="00F460F6"/>
    <w:rsid w:val="00F540C3"/>
    <w:rsid w:val="00F5685C"/>
    <w:rsid w:val="00F62F13"/>
    <w:rsid w:val="00F840C1"/>
    <w:rsid w:val="00FB4F07"/>
    <w:rsid w:val="00FC06F6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77"/>
  </w:style>
  <w:style w:type="paragraph" w:styleId="Footer">
    <w:name w:val="footer"/>
    <w:basedOn w:val="Normal"/>
    <w:link w:val="FooterChar"/>
    <w:uiPriority w:val="99"/>
    <w:unhideWhenUsed/>
    <w:rsid w:val="00AA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tkidman</dc:creator>
  <cp:lastModifiedBy>john</cp:lastModifiedBy>
  <cp:revision>2</cp:revision>
  <cp:lastPrinted>2011-03-28T14:40:00Z</cp:lastPrinted>
  <dcterms:created xsi:type="dcterms:W3CDTF">2011-03-29T16:11:00Z</dcterms:created>
  <dcterms:modified xsi:type="dcterms:W3CDTF">2011-03-29T16:11:00Z</dcterms:modified>
</cp:coreProperties>
</file>